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5B84DB6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2270ED6"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(Dz. U. poz. 1079</w:t>
      </w:r>
      <w:r w:rsidR="008F0FAE">
        <w:rPr>
          <w:rFonts w:ascii="Open Sans" w:hAnsi="Open Sans" w:cs="Open Sans"/>
          <w:sz w:val="22"/>
          <w:szCs w:val="22"/>
        </w:rPr>
        <w:t xml:space="preserve">, z późn. </w:t>
      </w:r>
      <w:r w:rsidR="00F22966">
        <w:rPr>
          <w:rFonts w:ascii="Open Sans" w:hAnsi="Open Sans" w:cs="Open Sans"/>
          <w:sz w:val="22"/>
          <w:szCs w:val="22"/>
        </w:rPr>
        <w:t>z</w:t>
      </w:r>
      <w:r w:rsidR="008F0FAE">
        <w:rPr>
          <w:rFonts w:ascii="Open Sans" w:hAnsi="Open Sans" w:cs="Open Sans"/>
          <w:sz w:val="22"/>
          <w:szCs w:val="22"/>
        </w:rPr>
        <w:t>m.</w:t>
      </w:r>
      <w:r w:rsidRPr="007A2BD2">
        <w:rPr>
          <w:rFonts w:ascii="Open Sans" w:hAnsi="Open Sans" w:cs="Open Sans"/>
          <w:sz w:val="22"/>
          <w:szCs w:val="22"/>
        </w:rPr>
        <w:t xml:space="preserve">),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8F0FAE">
        <w:rPr>
          <w:rFonts w:ascii="Open Sans" w:hAnsi="Open Sans" w:cs="Open Sans"/>
          <w:sz w:val="22"/>
          <w:szCs w:val="22"/>
        </w:rPr>
        <w:t>4</w:t>
      </w:r>
      <w:r w:rsidRPr="007A2BD2">
        <w:rPr>
          <w:rFonts w:ascii="Open Sans" w:hAnsi="Open Sans" w:cs="Open Sans"/>
          <w:sz w:val="22"/>
          <w:szCs w:val="22"/>
        </w:rPr>
        <w:t xml:space="preserve"> r. poz. </w:t>
      </w:r>
      <w:r w:rsidR="00E64B83" w:rsidRPr="007A2BD2">
        <w:rPr>
          <w:rFonts w:ascii="Open Sans" w:hAnsi="Open Sans" w:cs="Open Sans"/>
          <w:sz w:val="22"/>
          <w:szCs w:val="22"/>
        </w:rPr>
        <w:t>1</w:t>
      </w:r>
      <w:r w:rsidR="008F0FAE">
        <w:rPr>
          <w:rFonts w:ascii="Open Sans" w:hAnsi="Open Sans" w:cs="Open Sans"/>
          <w:sz w:val="22"/>
          <w:szCs w:val="22"/>
        </w:rPr>
        <w:t>530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211C1F7E"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w:t>
      </w:r>
      <w:r w:rsidR="00EB0FCE">
        <w:rPr>
          <w:rFonts w:ascii="Open Sans" w:hAnsi="Open Sans" w:cs="Open Sans"/>
          <w:sz w:val="22"/>
          <w:szCs w:val="22"/>
        </w:rPr>
        <w:t>/-ej</w:t>
      </w:r>
      <w:r w:rsidRPr="007A2BD2">
        <w:rPr>
          <w:rFonts w:ascii="Open Sans" w:hAnsi="Open Sans" w:cs="Open Sans"/>
          <w:sz w:val="22"/>
          <w:szCs w:val="22"/>
        </w:rPr>
        <w:t xml:space="preserve">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13669F14"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363E2769"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r w:rsidR="008F0FAE">
        <w:rPr>
          <w:rFonts w:ascii="Open Sans" w:hAnsi="Open Sans" w:cs="Open Sans"/>
          <w:sz w:val="22"/>
          <w:szCs w:val="22"/>
        </w:rPr>
        <w:t>, z późn. zm.</w:t>
      </w:r>
      <w:r w:rsidRPr="007A2BD2">
        <w:rPr>
          <w:rFonts w:ascii="Open Sans" w:hAnsi="Open Sans" w:cs="Open Sans"/>
          <w:sz w:val="22"/>
          <w:szCs w:val="22"/>
        </w:rPr>
        <w:t>)</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1D6BB79C"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w:t>
      </w:r>
      <w:bookmarkEnd w:id="17"/>
      <w:r w:rsidR="004B5F4C" w:rsidRPr="007A2BD2">
        <w:rPr>
          <w:rFonts w:ascii="Open Sans" w:hAnsi="Open Sans" w:cs="Open Sans"/>
          <w:sz w:val="22"/>
          <w:szCs w:val="22"/>
        </w:rPr>
        <w:t>zawarcia Umowy</w:t>
      </w:r>
      <w:r w:rsidR="00C426EA">
        <w:rPr>
          <w:rFonts w:ascii="Open Sans" w:hAnsi="Open Sans" w:cs="Open Sans"/>
          <w:sz w:val="22"/>
          <w:szCs w:val="22"/>
        </w:rPr>
        <w:t>,</w:t>
      </w:r>
      <w:r w:rsidR="004B5F4C" w:rsidRPr="007A2BD2">
        <w:rPr>
          <w:rFonts w:ascii="Open Sans" w:hAnsi="Open Sans" w:cs="Open Sans"/>
          <w:sz w:val="22"/>
          <w:szCs w:val="22"/>
        </w:rPr>
        <w:t xml:space="preserve"> </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4"/>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w:t>
      </w:r>
      <w:r w:rsidRPr="00B97498">
        <w:rPr>
          <w:rFonts w:ascii="Open Sans" w:hAnsi="Open Sans" w:cs="Open Sans"/>
          <w:sz w:val="22"/>
          <w:szCs w:val="22"/>
        </w:rPr>
        <w:lastRenderedPageBreak/>
        <w:t>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5"/>
      </w:r>
      <w:r>
        <w:rPr>
          <w:rFonts w:ascii="Open Sans" w:hAnsi="Open Sans" w:cs="Open Sans"/>
          <w:sz w:val="22"/>
          <w:szCs w:val="22"/>
        </w:rPr>
        <w:t>,</w:t>
      </w:r>
    </w:p>
    <w:p w14:paraId="58F34C6B" w14:textId="7E6316B7" w:rsidR="002263CC"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F2EB895" w14:textId="0A2B3F31" w:rsidR="0038240A" w:rsidRPr="005C2DE3" w:rsidRDefault="0038240A" w:rsidP="005C2DE3">
      <w:pPr>
        <w:pStyle w:val="Tekstpodstawowy2"/>
        <w:spacing w:before="120" w:after="120"/>
        <w:ind w:left="540" w:hanging="360"/>
        <w:rPr>
          <w:rFonts w:ascii="Open Sans" w:hAnsi="Open Sans" w:cs="Open Sans"/>
          <w:bCs/>
          <w:sz w:val="22"/>
          <w:szCs w:val="22"/>
        </w:rPr>
      </w:pPr>
      <w:r>
        <w:rPr>
          <w:rFonts w:ascii="Open Sans" w:hAnsi="Open Sans" w:cs="Open Sans"/>
          <w:bCs/>
          <w:sz w:val="22"/>
          <w:szCs w:val="22"/>
        </w:rPr>
        <w:t>10a)</w:t>
      </w:r>
      <w:r>
        <w:rPr>
          <w:rFonts w:ascii="Open Sans" w:hAnsi="Open Sans" w:cs="Open Sans"/>
          <w:bCs/>
          <w:sz w:val="22"/>
          <w:szCs w:val="22"/>
        </w:rPr>
        <w:tab/>
      </w:r>
      <w:r w:rsidRPr="00F22966">
        <w:rPr>
          <w:rFonts w:ascii="Open Sans" w:hAnsi="Open Sans" w:cs="Open Sans"/>
          <w:b/>
          <w:sz w:val="22"/>
          <w:szCs w:val="22"/>
        </w:rPr>
        <w:t>kosztach bezpośrednich</w:t>
      </w:r>
      <w:r w:rsidRPr="0038240A">
        <w:rPr>
          <w:rFonts w:ascii="Open Sans" w:hAnsi="Open Sans" w:cs="Open Sans"/>
          <w:bCs/>
          <w:sz w:val="22"/>
          <w:szCs w:val="22"/>
        </w:rPr>
        <w:t xml:space="preserve"> – należy przez to rozumieć koszty niezbędne do realizacji Projektu, które można bezpośrednio przypisać do głównego celu Projektu,</w:t>
      </w:r>
    </w:p>
    <w:p w14:paraId="0502DE6A" w14:textId="6CC5E4C3" w:rsidR="0038240A" w:rsidRPr="005C2DE3" w:rsidRDefault="0038240A" w:rsidP="00F22966">
      <w:pPr>
        <w:pStyle w:val="Tekstpodstawowy2"/>
        <w:spacing w:before="120" w:after="120"/>
        <w:ind w:left="540" w:hanging="360"/>
        <w:rPr>
          <w:rFonts w:ascii="Open Sans" w:hAnsi="Open Sans" w:cs="Open Sans"/>
          <w:bCs/>
          <w:sz w:val="22"/>
          <w:szCs w:val="22"/>
        </w:rPr>
      </w:pPr>
      <w:r>
        <w:rPr>
          <w:rFonts w:ascii="Open Sans" w:hAnsi="Open Sans" w:cs="Open Sans"/>
          <w:sz w:val="22"/>
          <w:szCs w:val="22"/>
        </w:rPr>
        <w:t>10b)</w:t>
      </w:r>
      <w:r>
        <w:rPr>
          <w:rFonts w:ascii="Open Sans" w:hAnsi="Open Sans" w:cs="Open Sans"/>
          <w:sz w:val="22"/>
          <w:szCs w:val="22"/>
        </w:rPr>
        <w:tab/>
      </w:r>
      <w:r w:rsidRPr="00F22966">
        <w:rPr>
          <w:rFonts w:ascii="Open Sans" w:hAnsi="Open Sans" w:cs="Open Sans"/>
          <w:b/>
          <w:bCs/>
          <w:sz w:val="22"/>
          <w:szCs w:val="22"/>
        </w:rPr>
        <w:t>kosztach pośrednich</w:t>
      </w:r>
      <w:r w:rsidRPr="0038240A">
        <w:rPr>
          <w:rFonts w:ascii="Open Sans" w:hAnsi="Open Sans" w:cs="Open Sans"/>
          <w:sz w:val="22"/>
          <w:szCs w:val="22"/>
        </w:rPr>
        <w:t xml:space="preserve"> – należy przez to rozumieć koszty niezbędne do realizacji Projektu, których nie można bezpośrednio przypisać do głównego celu Projektu,</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18"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18"/>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19"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19"/>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0" w:name="_Hlk116550718"/>
      <w:r w:rsidRPr="007A2BD2">
        <w:rPr>
          <w:rFonts w:ascii="Open Sans" w:hAnsi="Open Sans" w:cs="Open Sans"/>
          <w:i/>
          <w:sz w:val="22"/>
          <w:szCs w:val="22"/>
        </w:rPr>
        <w:t>Wytycznych dotyczących kwalifikowalności wydatków na lata 2021-2027</w:t>
      </w:r>
      <w:bookmarkEnd w:id="20"/>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1"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1"/>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2"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3" w:name="_Hlk135825929"/>
      <w:r w:rsidR="00762B48" w:rsidRPr="007A2BD2">
        <w:rPr>
          <w:rFonts w:ascii="Open Sans" w:hAnsi="Open Sans" w:cs="Open Sans"/>
          <w:sz w:val="22"/>
          <w:szCs w:val="22"/>
        </w:rPr>
        <w:t xml:space="preserve"> </w:t>
      </w:r>
      <w:bookmarkEnd w:id="23"/>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4" w:name="_Hlk135825991"/>
      <w:r w:rsidR="007C11D9" w:rsidRPr="007A2BD2">
        <w:rPr>
          <w:rFonts w:ascii="Open Sans" w:hAnsi="Open Sans" w:cs="Open Sans"/>
          <w:sz w:val="22"/>
          <w:szCs w:val="22"/>
        </w:rPr>
        <w:t>(datą końcową)</w:t>
      </w:r>
      <w:bookmarkEnd w:id="24"/>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2"/>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lastRenderedPageBreak/>
        <w:t>na dowód czego Beneficjent doręcza poświadczone za zgodność z oryginałem kopie umów z bankami/bankiem</w:t>
      </w:r>
      <w:r w:rsidR="007B1D09">
        <w:rPr>
          <w:rStyle w:val="Odwoanieprzypisudolnego"/>
          <w:rFonts w:ascii="Open Sans" w:hAnsi="Open Sans"/>
          <w:sz w:val="22"/>
          <w:szCs w:val="22"/>
        </w:rPr>
        <w:footnoteReference w:id="22"/>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4"/>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5"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5"/>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5"/>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6"/>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6"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6"/>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27" w:name="_Hlk116550178"/>
      <w:r w:rsidR="00E37357" w:rsidRPr="007A2BD2">
        <w:rPr>
          <w:rFonts w:ascii="Open Sans" w:hAnsi="Open Sans" w:cs="Open Sans"/>
          <w:sz w:val="22"/>
          <w:szCs w:val="22"/>
        </w:rPr>
        <w:t xml:space="preserve">w art. 29 ust. 1 ustawy oraz </w:t>
      </w:r>
      <w:bookmarkEnd w:id="27"/>
      <w:r w:rsidR="00E37357" w:rsidRPr="007A2BD2">
        <w:rPr>
          <w:rFonts w:ascii="Open Sans" w:hAnsi="Open Sans" w:cs="Open Sans"/>
          <w:sz w:val="22"/>
          <w:szCs w:val="22"/>
        </w:rPr>
        <w:t xml:space="preserve">w </w:t>
      </w:r>
      <w:bookmarkStart w:id="28"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28"/>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29"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29"/>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7"/>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0"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8"/>
      </w:r>
      <w:r w:rsidRPr="007A2BD2">
        <w:rPr>
          <w:rFonts w:ascii="Open Sans" w:hAnsi="Open Sans" w:cs="Open Sans"/>
          <w:sz w:val="22"/>
          <w:szCs w:val="22"/>
        </w:rPr>
        <w:t>,</w:t>
      </w:r>
      <w:bookmarkEnd w:id="30"/>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1"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1"/>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9"/>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2"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2"/>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w:t>
      </w:r>
      <w:r w:rsidRPr="007A2BD2">
        <w:rPr>
          <w:rFonts w:ascii="Open Sans" w:hAnsi="Open Sans" w:cs="Open Sans"/>
          <w:sz w:val="22"/>
          <w:szCs w:val="22"/>
        </w:rPr>
        <w:lastRenderedPageBreak/>
        <w:t xml:space="preserve">projektem zakończonym w rozumieniu </w:t>
      </w:r>
      <w:bookmarkStart w:id="33" w:name="_Hlk111025044"/>
      <w:r w:rsidRPr="007A2BD2">
        <w:rPr>
          <w:rFonts w:ascii="Open Sans" w:hAnsi="Open Sans" w:cs="Open Sans"/>
          <w:sz w:val="22"/>
          <w:szCs w:val="22"/>
        </w:rPr>
        <w:t>art. 63 ust. 6 rozporządzenia nr 2021/1060 i Wytycznych dotyczących kwalifikowalności wydatków na lata 2021-2027.</w:t>
      </w:r>
      <w:bookmarkEnd w:id="33"/>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4" w:name="_Hlk111025165"/>
      <w:r w:rsidRPr="007A2BD2">
        <w:rPr>
          <w:rFonts w:ascii="Open Sans" w:hAnsi="Open Sans" w:cs="Open Sans"/>
          <w:sz w:val="22"/>
          <w:szCs w:val="22"/>
        </w:rPr>
        <w:t>oraz procedurami o których mowa w art. 184 ustawy o finansach publicznych,</w:t>
      </w:r>
      <w:bookmarkEnd w:id="34"/>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5"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5"/>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0DA24DAB"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8F0FAE">
        <w:rPr>
          <w:rFonts w:ascii="Open Sans" w:hAnsi="Open Sans" w:cs="Open Sans"/>
          <w:sz w:val="22"/>
          <w:szCs w:val="22"/>
        </w:rPr>
        <w:t>4</w:t>
      </w:r>
      <w:r w:rsidRPr="007A2BD2">
        <w:rPr>
          <w:rFonts w:ascii="Open Sans" w:hAnsi="Open Sans" w:cs="Open Sans"/>
          <w:sz w:val="22"/>
          <w:szCs w:val="22"/>
        </w:rPr>
        <w:t xml:space="preserve"> r. poz. 1</w:t>
      </w:r>
      <w:r w:rsidR="008F0FAE">
        <w:rPr>
          <w:rFonts w:ascii="Open Sans" w:hAnsi="Open Sans" w:cs="Open Sans"/>
          <w:sz w:val="22"/>
          <w:szCs w:val="22"/>
        </w:rPr>
        <w:t>112</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0"/>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1"/>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lastRenderedPageBreak/>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xml:space="preserve">, stanowiącym </w:t>
      </w:r>
      <w:r w:rsidRPr="008A2305">
        <w:rPr>
          <w:rFonts w:ascii="Open Sans" w:hAnsi="Open Sans" w:cs="Open Sans"/>
          <w:b/>
          <w:bCs/>
          <w:sz w:val="22"/>
          <w:szCs w:val="22"/>
        </w:rPr>
        <w:t>załącznik</w:t>
      </w:r>
      <w:r w:rsidRPr="00183F5F">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4"/>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6"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6"/>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37"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37"/>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 xml:space="preserve">Wniosek o zmianę i stanowisko w </w:t>
      </w:r>
      <w:r w:rsidR="002C00B4" w:rsidRPr="007A2BD2">
        <w:rPr>
          <w:rFonts w:ascii="Open Sans" w:hAnsi="Open Sans" w:cs="Open Sans"/>
          <w:sz w:val="22"/>
          <w:szCs w:val="22"/>
        </w:rPr>
        <w:lastRenderedPageBreak/>
        <w:t>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38" w:name="_Hlk121914333"/>
      <w:r w:rsidR="004200C6" w:rsidRPr="007A2BD2">
        <w:rPr>
          <w:rFonts w:ascii="Open Sans" w:hAnsi="Open Sans" w:cs="Open Sans"/>
          <w:sz w:val="22"/>
          <w:szCs w:val="22"/>
        </w:rPr>
        <w:t>następuje za pośrednictwem SL2021.</w:t>
      </w:r>
      <w:bookmarkEnd w:id="38"/>
    </w:p>
    <w:p w14:paraId="3A5B6B89" w14:textId="59F7D251"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5"/>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6"/>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7"/>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39" w:name="_Hlk167359534"/>
      <w:r w:rsidR="00061766" w:rsidRPr="00647914">
        <w:rPr>
          <w:rFonts w:ascii="Open Sans" w:hAnsi="Open Sans" w:cs="Open Sans"/>
          <w:sz w:val="22"/>
          <w:szCs w:val="22"/>
        </w:rPr>
        <w:t>W przypadku braku realizacji lub nieskutecznej realizacji przez Beneficjenta wskazanych działań naprawczych</w:t>
      </w:r>
      <w:bookmarkEnd w:id="39"/>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8"/>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0" w:name="_Hlk132531589"/>
      <w:r w:rsidRPr="007A2BD2">
        <w:rPr>
          <w:rFonts w:ascii="Open Sans" w:hAnsi="Open Sans" w:cs="Open Sans"/>
          <w:sz w:val="22"/>
          <w:szCs w:val="22"/>
        </w:rPr>
        <w:lastRenderedPageBreak/>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0"/>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4A0D0B98"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39"/>
      </w:r>
      <w:r w:rsidRPr="007A2BD2">
        <w:rPr>
          <w:rFonts w:ascii="Open Sans" w:hAnsi="Open Sans" w:cs="Open Sans"/>
          <w:sz w:val="22"/>
          <w:szCs w:val="22"/>
        </w:rPr>
        <w:t>, informacje o funkcjonowaniu mechanizmu umożliwiającego sygnalizowanie o potencjalnych nieprawidłowościach lub nadużyciach finansowych</w:t>
      </w:r>
      <w:r w:rsidR="006E7EF3">
        <w:rPr>
          <w:rStyle w:val="Odwoanieprzypisudolnego"/>
          <w:rFonts w:ascii="Open Sans" w:hAnsi="Open Sans"/>
          <w:sz w:val="22"/>
          <w:szCs w:val="22"/>
        </w:rPr>
        <w:footnoteReference w:id="40"/>
      </w:r>
      <w:r w:rsidRPr="007A2BD2">
        <w:rPr>
          <w:rFonts w:ascii="Open Sans" w:hAnsi="Open Sans" w:cs="Open Sans"/>
          <w:sz w:val="22"/>
          <w:szCs w:val="22"/>
        </w:rPr>
        <w:t>,</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xml:space="preserve">. Beneficjent zobowiązany jest zaniechać podejmowania działań odwetowych wobec swoich pracowników, wykonawców jak również innych osób powiązanych z realizowanym Projektem, które w dobrej wierze </w:t>
      </w:r>
      <w:r w:rsidRPr="007A2BD2">
        <w:rPr>
          <w:rFonts w:ascii="Open Sans" w:hAnsi="Open Sans" w:cs="Open Sans"/>
          <w:sz w:val="22"/>
          <w:szCs w:val="22"/>
        </w:rPr>
        <w:lastRenderedPageBreak/>
        <w:t>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1" w:name="_Hlk111027321"/>
      <w:bookmarkStart w:id="42" w:name="_Hlk122091007"/>
      <w:bookmarkStart w:id="43"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1"/>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2"/>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4"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4"/>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38C34FE3"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r w:rsidR="00876570">
        <w:rPr>
          <w:rFonts w:ascii="Open Sans" w:hAnsi="Open Sans" w:cs="Open Sans"/>
          <w:sz w:val="22"/>
          <w:szCs w:val="22"/>
        </w:rPr>
        <w:t xml:space="preserve"> </w:t>
      </w:r>
      <w:r w:rsidR="00876570" w:rsidRPr="00876570">
        <w:rPr>
          <w:rFonts w:ascii="Open Sans" w:hAnsi="Open Sans" w:cs="Open Sans"/>
          <w:sz w:val="22"/>
          <w:szCs w:val="22"/>
        </w:rPr>
        <w:t>lub z wykorzystaniem publicznej usługi rejestrowanego doręczenia elektronicznego lub publicznej usługi hybrydowej, o których mowa w ustawie z dnia 18 listopada 2020 r. o doręczeniach elektronicznych (Dz. U. z 2024 r. poz. 1045, z późn. zm.)</w:t>
      </w:r>
      <w:r w:rsidRPr="007A2BD2">
        <w:rPr>
          <w:rFonts w:ascii="Open Sans" w:hAnsi="Open Sans" w:cs="Open Sans"/>
          <w:sz w:val="22"/>
          <w:szCs w:val="22"/>
        </w:rPr>
        <w:t>,</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sygnalistycznego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3"/>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5" w:name="_Hlk121761962"/>
      <w:bookmarkStart w:id="46"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47" w:name="_Hlk121761938"/>
      <w:bookmarkEnd w:id="45"/>
      <w:r w:rsidRPr="007A2BD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CE2CCB">
        <w:rPr>
          <w:rFonts w:ascii="Open Sans" w:hAnsi="Open Sans" w:cs="Open Sans"/>
          <w:sz w:val="22"/>
          <w:szCs w:val="22"/>
        </w:rPr>
        <w:t>,</w:t>
      </w:r>
      <w:r w:rsidRPr="007A2BD2">
        <w:rPr>
          <w:rFonts w:ascii="Open Sans" w:hAnsi="Open Sans" w:cs="Open Sans"/>
          <w:sz w:val="22"/>
          <w:szCs w:val="22"/>
        </w:rPr>
        <w:t xml:space="preserve"> </w:t>
      </w:r>
      <w:bookmarkStart w:id="48"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48"/>
      <w:r w:rsidR="00CE2CCB">
        <w:rPr>
          <w:rFonts w:ascii="Open Sans" w:hAnsi="Open Sans"/>
          <w:sz w:val="22"/>
        </w:rPr>
        <w:t>.</w:t>
      </w:r>
      <w:bookmarkEnd w:id="46"/>
      <w:bookmarkEnd w:id="47"/>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 xml:space="preserve">Beneficjent zobowiązuje się do udziału </w:t>
      </w:r>
      <w:bookmarkStart w:id="49"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49"/>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0"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0"/>
    </w:p>
    <w:p w14:paraId="11B3046B" w14:textId="0735C311"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 xml:space="preserve">na wykonanie robót budowlanych o wartości </w:t>
      </w:r>
      <w:r w:rsidR="00806543" w:rsidRPr="00806543">
        <w:rPr>
          <w:rFonts w:ascii="Open Sans" w:hAnsi="Open Sans" w:cs="Open Sans"/>
          <w:sz w:val="22"/>
          <w:szCs w:val="22"/>
        </w:rPr>
        <w:t>szacunkowej zamówienia</w:t>
      </w:r>
      <w:r w:rsidR="00806543">
        <w:rPr>
          <w:rStyle w:val="Odwoanieprzypisudolnego"/>
          <w:rFonts w:ascii="Open Sans" w:hAnsi="Open Sans"/>
          <w:sz w:val="22"/>
          <w:szCs w:val="22"/>
        </w:rPr>
        <w:footnoteReference w:id="42"/>
      </w:r>
      <w:r w:rsidR="00806543" w:rsidRPr="00806543">
        <w:rPr>
          <w:rFonts w:ascii="Open Sans" w:hAnsi="Open Sans" w:cs="Open Sans"/>
          <w:sz w:val="22"/>
          <w:szCs w:val="22"/>
        </w:rPr>
        <w:t xml:space="preserve"> </w:t>
      </w:r>
      <w:r w:rsidR="00EB0ACC" w:rsidRPr="007A2BD2">
        <w:rPr>
          <w:rFonts w:ascii="Open Sans" w:hAnsi="Open Sans" w:cs="Open Sans"/>
          <w:sz w:val="22"/>
          <w:szCs w:val="22"/>
        </w:rPr>
        <w:t>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3"/>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w:t>
      </w:r>
      <w:r w:rsidR="002C5E1E" w:rsidRPr="007A2BD2">
        <w:rPr>
          <w:rFonts w:ascii="Open Sans" w:hAnsi="Open Sans" w:cs="Open Sans"/>
          <w:sz w:val="22"/>
          <w:szCs w:val="22"/>
        </w:rPr>
        <w:lastRenderedPageBreak/>
        <w:t>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2"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2"/>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6"/>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7"/>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8"/>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lastRenderedPageBreak/>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49"/>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50"/>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1"/>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2"/>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212BBEBE"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9564E2" w:rsidRPr="00D62DCC">
        <w:rPr>
          <w:rFonts w:ascii="Open Sans" w:hAnsi="Open Sans" w:cs="Open Sans"/>
          <w:sz w:val="22"/>
          <w:szCs w:val="22"/>
        </w:rPr>
        <w:t>do dnia złożenia raportu końcowego, o którym mowa w § 4c ust. 2/najpóźniej wraz z wnioskiem o płatność końcową</w:t>
      </w:r>
      <w:r w:rsidR="009564E2" w:rsidRPr="00D62DCC">
        <w:rPr>
          <w:rStyle w:val="Odwoanieprzypisudolnego"/>
          <w:rFonts w:ascii="Open Sans" w:hAnsi="Open Sans"/>
          <w:sz w:val="22"/>
          <w:szCs w:val="22"/>
        </w:rPr>
        <w:footnoteReference w:id="53"/>
      </w:r>
      <w:r w:rsidRPr="007A2BD2">
        <w:rPr>
          <w:rFonts w:ascii="Open Sans" w:hAnsi="Open Sans" w:cs="Open Sans"/>
          <w:sz w:val="22"/>
          <w:szCs w:val="22"/>
        </w:rPr>
        <w:t>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lastRenderedPageBreak/>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4"/>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5"/>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6"/>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7"/>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w:t>
      </w:r>
      <w:r w:rsidRPr="007A2BD2">
        <w:rPr>
          <w:rFonts w:ascii="Open Sans" w:hAnsi="Open Sans" w:cs="Open Sans"/>
          <w:sz w:val="22"/>
          <w:szCs w:val="22"/>
        </w:rPr>
        <w:lastRenderedPageBreak/>
        <w:t xml:space="preserve">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8"/>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635507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w:t>
      </w:r>
      <w:r w:rsidR="005C2DE3" w:rsidRPr="005C2DE3">
        <w:rPr>
          <w:rFonts w:ascii="Open Sans" w:hAnsi="Open Sans" w:cs="Open Sans"/>
          <w:sz w:val="22"/>
          <w:szCs w:val="22"/>
        </w:rPr>
        <w:t xml:space="preserve"> </w:t>
      </w:r>
      <w:r w:rsidR="005C2DE3" w:rsidRPr="00D86EFF">
        <w:rPr>
          <w:rFonts w:ascii="Open Sans" w:hAnsi="Open Sans" w:cs="Open Sans"/>
          <w:sz w:val="22"/>
          <w:szCs w:val="22"/>
        </w:rPr>
        <w:t xml:space="preserve">oraz </w:t>
      </w:r>
      <w:r w:rsidR="005C2DE3" w:rsidRPr="00D219AF">
        <w:rPr>
          <w:rFonts w:ascii="Open Sans" w:hAnsi="Open Sans" w:cs="Open Sans"/>
          <w:sz w:val="22"/>
          <w:szCs w:val="22"/>
        </w:rPr>
        <w:t xml:space="preserve">kwotę kosztów pośrednich, rozliczonych stawką ryczałtową, o której mowa w § 7 ust. 16, naliczoną od </w:t>
      </w:r>
      <w:r w:rsidR="00664A16">
        <w:rPr>
          <w:rFonts w:ascii="Open Sans" w:hAnsi="Open Sans" w:cs="Open Sans"/>
          <w:sz w:val="22"/>
          <w:szCs w:val="22"/>
        </w:rPr>
        <w:t xml:space="preserve">kwalifikowalnych </w:t>
      </w:r>
      <w:r w:rsidR="005C2DE3" w:rsidRPr="00D219AF">
        <w:rPr>
          <w:rFonts w:ascii="Open Sans" w:hAnsi="Open Sans" w:cs="Open Sans"/>
          <w:sz w:val="22"/>
          <w:szCs w:val="22"/>
        </w:rPr>
        <w:t xml:space="preserve">kosztów bezpośrednich </w:t>
      </w:r>
      <w:r w:rsidR="00F22966">
        <w:rPr>
          <w:rFonts w:ascii="Open Sans" w:hAnsi="Open Sans" w:cs="Open Sans"/>
          <w:sz w:val="22"/>
          <w:szCs w:val="22"/>
        </w:rPr>
        <w:t xml:space="preserve">uznanych za </w:t>
      </w:r>
      <w:r w:rsidR="005C2DE3" w:rsidRPr="00D86EFF">
        <w:rPr>
          <w:rFonts w:ascii="Open Sans" w:hAnsi="Open Sans" w:cs="Open Sans"/>
          <w:sz w:val="22"/>
          <w:szCs w:val="22"/>
        </w:rPr>
        <w:t>poniesion</w:t>
      </w:r>
      <w:r w:rsidR="00F22966">
        <w:rPr>
          <w:rFonts w:ascii="Open Sans" w:hAnsi="Open Sans" w:cs="Open Sans"/>
          <w:sz w:val="22"/>
          <w:szCs w:val="22"/>
        </w:rPr>
        <w:t>e</w:t>
      </w:r>
      <w:r w:rsidR="005C2DE3" w:rsidRPr="00D86EFF">
        <w:rPr>
          <w:rFonts w:ascii="Open Sans" w:hAnsi="Open Sans" w:cs="Open Sans"/>
          <w:sz w:val="22"/>
          <w:szCs w:val="22"/>
        </w:rPr>
        <w:t xml:space="preserve"> nieprawidłowo (bez odsetek)</w:t>
      </w:r>
      <w:r w:rsidR="005C2DE3" w:rsidRPr="00D86EFF">
        <w:rPr>
          <w:rStyle w:val="Odwoanieprzypisudolnego"/>
          <w:rFonts w:ascii="Open Sans" w:hAnsi="Open Sans" w:cs="Open Sans"/>
          <w:sz w:val="22"/>
          <w:szCs w:val="22"/>
        </w:rPr>
        <w:footnoteReference w:id="59"/>
      </w:r>
      <w:r w:rsidR="00FC13A8" w:rsidRPr="007A2BD2">
        <w:rPr>
          <w:rFonts w:ascii="Open Sans" w:hAnsi="Open Sans" w:cs="Open Sans"/>
          <w:sz w:val="22"/>
          <w:szCs w:val="22"/>
        </w:rPr>
        <w:t>,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536AD250"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xml:space="preserve">. Strony oświadczają, że zmiana wysokości maksymalnej kwoty </w:t>
      </w:r>
      <w:r w:rsidR="00A34C02" w:rsidRPr="007A2BD2">
        <w:rPr>
          <w:rFonts w:ascii="Open Sans" w:hAnsi="Open Sans" w:cs="Open Sans"/>
          <w:sz w:val="22"/>
          <w:szCs w:val="22"/>
        </w:rPr>
        <w:lastRenderedPageBreak/>
        <w:t xml:space="preserve">wydatków kwalifikowalnych </w:t>
      </w:r>
      <w:r w:rsidR="00F22966">
        <w:rPr>
          <w:rFonts w:ascii="Open Sans" w:hAnsi="Open Sans" w:cs="Open Sans"/>
          <w:sz w:val="22"/>
          <w:szCs w:val="22"/>
        </w:rPr>
        <w:t xml:space="preserve">oraz kwoty dofinansowania, o której mowa w ust. 1 </w:t>
      </w:r>
      <w:r w:rsidR="00A34C02" w:rsidRPr="007A2BD2">
        <w:rPr>
          <w:rFonts w:ascii="Open Sans" w:hAnsi="Open Sans" w:cs="Open Sans"/>
          <w:sz w:val="22"/>
          <w:szCs w:val="22"/>
        </w:rPr>
        <w:t>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F22966">
        <w:rPr>
          <w:rFonts w:ascii="Open Sans" w:hAnsi="Open Sans" w:cs="Open Sans"/>
          <w:sz w:val="22"/>
          <w:szCs w:val="22"/>
        </w:rPr>
        <w:t xml:space="preserve">oraz kwoty dofinansowania, o której mowa w ust. 1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61"/>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62"/>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3"/>
      </w:r>
    </w:p>
    <w:p w14:paraId="1B40CAB3" w14:textId="77777777" w:rsidR="009B5CD7" w:rsidRPr="00AF6921" w:rsidRDefault="009B5CD7" w:rsidP="009B5CD7">
      <w:pPr>
        <w:pStyle w:val="Tekstpodstawowy2"/>
        <w:spacing w:before="120" w:after="120"/>
        <w:jc w:val="center"/>
        <w:rPr>
          <w:rFonts w:ascii="Open Sans" w:hAnsi="Open Sans" w:cs="Open Sans"/>
          <w:b/>
          <w:bCs/>
          <w:sz w:val="22"/>
          <w:szCs w:val="22"/>
        </w:rPr>
      </w:pPr>
      <w:bookmarkStart w:id="59" w:name="_Hlk170286601"/>
      <w:bookmarkStart w:id="60"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4"/>
      </w:r>
    </w:p>
    <w:p w14:paraId="1FACE2BC" w14:textId="77777777" w:rsidR="009B5CD7" w:rsidRPr="00AF6921" w:rsidRDefault="009B5CD7" w:rsidP="009B5CD7">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 xml:space="preserve">Przez nieprzewidywalny wzrost wartości wydatków kwalifikowalnych Projektu, o którym mowa w ust. 1, należy rozumieć wzrost kosztów realizacji Projektu powiązany ze wzrostem wartości wskaźnika cen towarów i usług konsumpcyjnych </w:t>
      </w:r>
      <w:r w:rsidRPr="00AF6921">
        <w:rPr>
          <w:rFonts w:ascii="Open Sans" w:hAnsi="Open Sans" w:cs="Open Sans"/>
          <w:sz w:val="22"/>
          <w:szCs w:val="22"/>
        </w:rPr>
        <w:lastRenderedPageBreak/>
        <w:t>/…………………………….</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6"/>
      </w:r>
      <w:r w:rsidRPr="00AF6921">
        <w:rPr>
          <w:rFonts w:ascii="Open Sans" w:hAnsi="Open Sans" w:cs="Open Sans"/>
          <w:sz w:val="22"/>
          <w:szCs w:val="22"/>
        </w:rPr>
        <w:t xml:space="preserve"> niż prognozowany średnioroczny wskaźnik cen towarów i usług konsumpcyjnych / ………………………………..</w:t>
      </w:r>
      <w:r w:rsidRPr="00AF6921">
        <w:rPr>
          <w:rStyle w:val="Odwoanieprzypisudolnego"/>
          <w:rFonts w:ascii="Open Sans" w:hAnsi="Open Sans" w:cs="Open Sans"/>
          <w:sz w:val="22"/>
          <w:szCs w:val="22"/>
        </w:rPr>
        <w:footnoteReference w:id="67"/>
      </w:r>
    </w:p>
    <w:p w14:paraId="3A916E82"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xml:space="preserve"> publikowanym przez …………………………..</w:t>
      </w:r>
      <w:r w:rsidRPr="00AF6921">
        <w:rPr>
          <w:rStyle w:val="Odwoanieprzypisudolnego"/>
          <w:rFonts w:ascii="Open Sans" w:hAnsi="Open Sans"/>
          <w:sz w:val="22"/>
          <w:szCs w:val="22"/>
        </w:rPr>
        <w:footnoteReference w:id="69"/>
      </w:r>
      <w:r w:rsidRPr="00AF6921">
        <w:rPr>
          <w:rFonts w:ascii="Open Sans" w:hAnsi="Open Sans" w:cs="Open Sans"/>
          <w:sz w:val="22"/>
          <w:szCs w:val="22"/>
        </w:rPr>
        <w:t>.</w:t>
      </w:r>
    </w:p>
    <w:p w14:paraId="78493F99"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nie może zostać zrealizowany, albo</w:t>
      </w:r>
    </w:p>
    <w:p w14:paraId="5265C106"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70"/>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71"/>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72"/>
      </w:r>
      <w:r w:rsidRPr="00AF6921">
        <w:rPr>
          <w:rFonts w:ascii="Open Sans" w:hAnsi="Open Sans" w:cs="Open Sans"/>
          <w:sz w:val="22"/>
          <w:szCs w:val="22"/>
        </w:rPr>
        <w:t xml:space="preserve"> .</w:t>
      </w:r>
    </w:p>
    <w:p w14:paraId="1E6680BB" w14:textId="357AFA3E"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E2216D">
        <w:rPr>
          <w:rFonts w:ascii="Open Sans" w:hAnsi="Open Sans" w:cs="Open Sans"/>
          <w:sz w:val="22"/>
          <w:szCs w:val="22"/>
        </w:rPr>
        <w:lastRenderedPageBreak/>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2" w:name="_Hlk128575896"/>
      <w:bookmarkEnd w:id="59"/>
      <w:bookmarkEnd w:id="60"/>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2"/>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lastRenderedPageBreak/>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3" w:name="_Hlk121983720"/>
      <w:bookmarkStart w:id="64"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bookmarkEnd w:id="63"/>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bookmarkEnd w:id="64"/>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8"/>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2E60887E"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Niezłożenie wraz z wnioskiem o płatność końcową oświadczenia o kwalifikowalności VAT, o którym mowa w pkt 3, oznacza niekwalifikowalność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 xml:space="preserve">eneficjenta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skutkujące niezgodnością danych zawartych w załączniku nr 7 do Umowy pn. Opis 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w:t>
      </w:r>
      <w:r w:rsidR="00E56868" w:rsidRPr="007A2BD2">
        <w:rPr>
          <w:rFonts w:ascii="Open Sans" w:hAnsi="Open Sans" w:cs="Open Sans"/>
          <w:sz w:val="22"/>
          <w:szCs w:val="22"/>
        </w:rPr>
        <w:lastRenderedPageBreak/>
        <w:t>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9"/>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0"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80"/>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4308EDA1" w:rsidR="000461F1" w:rsidRPr="007A2BD2" w:rsidRDefault="00061433" w:rsidP="007A2BD2">
      <w:pPr>
        <w:numPr>
          <w:ilvl w:val="0"/>
          <w:numId w:val="95"/>
        </w:numPr>
        <w:spacing w:before="60" w:after="120"/>
        <w:jc w:val="both"/>
        <w:rPr>
          <w:rFonts w:ascii="Open Sans" w:hAnsi="Open Sans" w:cs="Open Sans"/>
          <w:sz w:val="22"/>
          <w:szCs w:val="22"/>
        </w:rPr>
      </w:pPr>
      <w:bookmarkStart w:id="71" w:name="_Hlk121937024"/>
      <w:bookmarkEnd w:id="70"/>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kwalifikowalnych kosztów bezpośrednich Projektu.</w:t>
      </w:r>
      <w:bookmarkEnd w:id="71"/>
      <w:r w:rsidR="000F41AC" w:rsidRPr="007A2BD2">
        <w:rPr>
          <w:rFonts w:ascii="Open Sans" w:hAnsi="Open Sans" w:cs="Open Sans"/>
          <w:sz w:val="22"/>
          <w:szCs w:val="22"/>
        </w:rPr>
        <w:t xml:space="preserve"> </w:t>
      </w:r>
      <w:r w:rsidR="00417F3A" w:rsidRPr="00417F3A">
        <w:rPr>
          <w:rFonts w:ascii="Open Sans" w:hAnsi="Open Sans" w:cs="Open Sans"/>
          <w:sz w:val="22"/>
          <w:szCs w:val="22"/>
        </w:rPr>
        <w:t>Beneficjent jest zobligowany do stosowania wyżej wskazanej stawki ryczałtowej w każdym wniosku o płatność rozliczającym kwalifikowalne koszty bezpośrednie.</w:t>
      </w:r>
    </w:p>
    <w:p w14:paraId="4D07C1AC" w14:textId="506A1033" w:rsidR="00487837" w:rsidRDefault="00C532F4" w:rsidP="007A2BD2">
      <w:pPr>
        <w:numPr>
          <w:ilvl w:val="0"/>
          <w:numId w:val="95"/>
        </w:numPr>
        <w:spacing w:before="240"/>
        <w:jc w:val="both"/>
        <w:rPr>
          <w:rFonts w:ascii="Open Sans" w:hAnsi="Open Sans" w:cs="Open Sans"/>
          <w:sz w:val="22"/>
          <w:szCs w:val="22"/>
        </w:rPr>
      </w:pPr>
      <w:bookmarkStart w:id="72" w:name="_Hlk127366135"/>
      <w:bookmarkStart w:id="73"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2"/>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3DD12704" w14:textId="77777777" w:rsidR="00C65562" w:rsidRPr="008A2305" w:rsidRDefault="00C65562" w:rsidP="008A2305">
      <w:pPr>
        <w:numPr>
          <w:ilvl w:val="0"/>
          <w:numId w:val="95"/>
        </w:numPr>
        <w:spacing w:before="240"/>
        <w:jc w:val="both"/>
        <w:rPr>
          <w:rFonts w:ascii="Open Sans" w:hAnsi="Open Sans" w:cs="Open Sans"/>
          <w:sz w:val="22"/>
          <w:szCs w:val="22"/>
        </w:rPr>
      </w:pPr>
      <w:r w:rsidRPr="008A2305">
        <w:rPr>
          <w:rFonts w:ascii="Open Sans" w:hAnsi="Open Sans" w:cs="Open Sans"/>
          <w:sz w:val="22"/>
          <w:szCs w:val="22"/>
        </w:rPr>
        <w:t>Z uwzględnieniem wymogów określonych w ust. 19, wydatek w postaci prawnie skutecznego złożenia do depozytu sądowego środków pieniężnych</w:t>
      </w:r>
      <w:r w:rsidRPr="008A2305" w:rsidDel="006077EB">
        <w:rPr>
          <w:rFonts w:ascii="Open Sans" w:hAnsi="Open Sans" w:cs="Open Sans"/>
          <w:sz w:val="22"/>
          <w:szCs w:val="22"/>
        </w:rPr>
        <w:t xml:space="preserve"> </w:t>
      </w:r>
      <w:r w:rsidRPr="008A2305">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1BD2892A"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warunki dokumentowania i czas monitorowania wydatku;</w:t>
      </w:r>
    </w:p>
    <w:p w14:paraId="76E4D963"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44748F98" w14:textId="77777777" w:rsidR="00C65562" w:rsidRPr="00C65562"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lastRenderedPageBreak/>
        <w:t xml:space="preserve">oświadczenie Beneficjenta, że do czasu uprawomocnienia się orzeczenia sądowego rozstrzygającego w </w:t>
      </w:r>
      <w:r w:rsidRPr="00C65562">
        <w:rPr>
          <w:rFonts w:ascii="Open Sans" w:hAnsi="Open Sans" w:cs="Open Sans"/>
          <w:sz w:val="22"/>
          <w:szCs w:val="22"/>
        </w:rPr>
        <w:t>przedmiocie</w:t>
      </w:r>
      <w:r w:rsidRPr="002248D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C65562">
        <w:rPr>
          <w:rFonts w:ascii="Open Sans" w:hAnsi="Open Sans" w:cs="Open Sans"/>
          <w:sz w:val="22"/>
          <w:szCs w:val="22"/>
        </w:rPr>
        <w:t>.</w:t>
      </w:r>
    </w:p>
    <w:p w14:paraId="3A3AF955" w14:textId="46B591F6" w:rsidR="00C65562" w:rsidRPr="00C65562" w:rsidRDefault="00C65562" w:rsidP="00C65562">
      <w:pPr>
        <w:numPr>
          <w:ilvl w:val="0"/>
          <w:numId w:val="95"/>
        </w:numPr>
        <w:spacing w:before="240"/>
        <w:jc w:val="both"/>
        <w:rPr>
          <w:rFonts w:ascii="Open Sans" w:hAnsi="Open Sans" w:cs="Open Sans"/>
          <w:sz w:val="22"/>
          <w:szCs w:val="22"/>
        </w:rPr>
      </w:pPr>
      <w:r w:rsidRPr="002248D6">
        <w:rPr>
          <w:rFonts w:ascii="Open Sans" w:hAnsi="Open Sans" w:cs="Open Sans"/>
          <w:sz w:val="22"/>
          <w:szCs w:val="22"/>
        </w:rPr>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3"/>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2"/>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3"/>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5"/>
      </w:r>
    </w:p>
    <w:p w14:paraId="3560EE31" w14:textId="7D360C53"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w:t>
      </w:r>
      <w:r w:rsidRPr="007A2BD2">
        <w:rPr>
          <w:rFonts w:ascii="Open Sans" w:hAnsi="Open Sans" w:cs="Open Sans"/>
          <w:sz w:val="22"/>
          <w:szCs w:val="22"/>
        </w:rPr>
        <w:lastRenderedPageBreak/>
        <w:t xml:space="preserve">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4"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4"/>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w:t>
      </w:r>
      <w:r w:rsidR="00F954B7">
        <w:rPr>
          <w:rFonts w:ascii="Open Sans" w:hAnsi="Open Sans" w:cs="Open Sans"/>
          <w:sz w:val="22"/>
          <w:szCs w:val="22"/>
        </w:rPr>
        <w:t>.</w:t>
      </w:r>
      <w:r w:rsidR="00C30F96" w:rsidRPr="007A2BD2">
        <w:rPr>
          <w:rFonts w:ascii="Open Sans" w:hAnsi="Open Sans" w:cs="Open Sans"/>
          <w:sz w:val="22"/>
          <w:szCs w:val="22"/>
        </w:rPr>
        <w:t xml:space="preserve">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29F7678B"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w:t>
      </w:r>
      <w:r w:rsidR="005E782E">
        <w:rPr>
          <w:rFonts w:ascii="Open Sans" w:hAnsi="Open Sans" w:cs="Open Sans"/>
          <w:sz w:val="22"/>
          <w:szCs w:val="22"/>
        </w:rPr>
        <w:t>, tj. koszty bezpośrednie</w:t>
      </w:r>
      <w:r w:rsidRPr="007A2BD2">
        <w:rPr>
          <w:rFonts w:ascii="Open Sans" w:hAnsi="Open Sans" w:cs="Open Sans"/>
          <w:sz w:val="22"/>
          <w:szCs w:val="22"/>
        </w:rPr>
        <w:t xml:space="preserv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r w:rsidR="009E7EEC" w:rsidRPr="009E7EEC">
        <w:rPr>
          <w:rFonts w:ascii="Open Sans" w:hAnsi="Open Sans" w:cs="Open Sans"/>
          <w:sz w:val="22"/>
          <w:szCs w:val="22"/>
        </w:rPr>
        <w:t xml:space="preserve"> </w:t>
      </w:r>
      <w:r w:rsidR="009E7EEC">
        <w:rPr>
          <w:rFonts w:ascii="Open Sans" w:hAnsi="Open Sans" w:cs="Open Sans"/>
          <w:sz w:val="22"/>
          <w:szCs w:val="22"/>
        </w:rPr>
        <w:t>oraz koszty pośrednie zadeklarowane we wnioskach o płatność</w:t>
      </w:r>
      <w:r w:rsidR="007F078D">
        <w:rPr>
          <w:rFonts w:ascii="Open Sans" w:hAnsi="Open Sans" w:cs="Open Sans"/>
          <w:sz w:val="22"/>
          <w:szCs w:val="22"/>
        </w:rPr>
        <w:t xml:space="preserve"> , jeżeli są kwalifikowalne w Projekcie zgodnie z § 7 ust. 15</w:t>
      </w:r>
      <w:r w:rsidRPr="007A2BD2">
        <w:rPr>
          <w:rFonts w:ascii="Open Sans" w:hAnsi="Open Sans" w:cs="Open Sans"/>
          <w:sz w:val="22"/>
          <w:szCs w:val="22"/>
        </w:rPr>
        <w:t>.</w:t>
      </w:r>
      <w:r w:rsidR="007F078D">
        <w:rPr>
          <w:rFonts w:ascii="Open Sans" w:hAnsi="Open Sans" w:cs="Open Sans"/>
          <w:sz w:val="22"/>
          <w:szCs w:val="22"/>
        </w:rPr>
        <w:t xml:space="preserve"> </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21DA4A97"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6"/>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2C8BB850" w14:textId="77777777" w:rsidR="008C0BEF" w:rsidRPr="008A2305"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p>
    <w:p w14:paraId="0707A888" w14:textId="4E6C3788" w:rsidR="00CA740F" w:rsidRPr="000A50FE" w:rsidRDefault="008C0BEF" w:rsidP="008A2305">
      <w:pPr>
        <w:pStyle w:val="Tekstpodstawowy2"/>
        <w:tabs>
          <w:tab w:val="num" w:pos="426"/>
          <w:tab w:val="left" w:pos="567"/>
        </w:tabs>
        <w:spacing w:before="60" w:after="120"/>
        <w:ind w:left="397" w:hanging="397"/>
        <w:rPr>
          <w:rFonts w:ascii="Open Sans" w:hAnsi="Open Sans" w:cs="Open Sans"/>
          <w:sz w:val="22"/>
          <w:szCs w:val="22"/>
        </w:rPr>
      </w:pPr>
      <w:r w:rsidRPr="008A2305">
        <w:rPr>
          <w:rFonts w:ascii="Open Sans" w:hAnsi="Open Sans" w:cs="Open Sans"/>
          <w:sz w:val="22"/>
          <w:szCs w:val="22"/>
        </w:rPr>
        <w:t>16a.</w:t>
      </w:r>
      <w:r w:rsidRPr="008A2305">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19. W przypadku, gdy działanie w sposób opisany w ust. 19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Pr>
          <w:rStyle w:val="Odwoanieprzypisudolnego"/>
          <w:rFonts w:ascii="Open Sans" w:hAnsi="Open Sans"/>
          <w:sz w:val="22"/>
          <w:szCs w:val="22"/>
        </w:rPr>
        <w:footnoteReference w:id="87"/>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5"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5"/>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6"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6"/>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9"/>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90"/>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t>
      </w:r>
      <w:r w:rsidRPr="007A2BD2">
        <w:rPr>
          <w:rFonts w:ascii="Open Sans" w:hAnsi="Open Sans" w:cs="Open Sans"/>
          <w:sz w:val="22"/>
          <w:szCs w:val="22"/>
        </w:rPr>
        <w:lastRenderedPageBreak/>
        <w:t>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424EE484"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7"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2172AE">
        <w:rPr>
          <w:rFonts w:ascii="Open Sans" w:hAnsi="Open Sans" w:cs="Open Sans"/>
          <w:sz w:val="22"/>
          <w:szCs w:val="22"/>
        </w:rPr>
        <w:t xml:space="preserve"> </w:t>
      </w:r>
      <w:r w:rsidR="002172AE" w:rsidRPr="00016060">
        <w:rPr>
          <w:rFonts w:ascii="Open Sans" w:hAnsi="Open Sans" w:cs="Open Sans"/>
          <w:sz w:val="22"/>
          <w:szCs w:val="22"/>
        </w:rPr>
        <w:t>oraz o odpowiadającą jej kwotę kosztów pośrednich naliczonych stawką ryczałtową, o której mowa w § 7 ust. 16</w:t>
      </w:r>
      <w:r w:rsidR="002172AE">
        <w:rPr>
          <w:rFonts w:ascii="Open Sans" w:hAnsi="Open Sans" w:cs="Open Sans"/>
          <w:sz w:val="22"/>
          <w:szCs w:val="22"/>
        </w:rPr>
        <w:t>.</w:t>
      </w:r>
      <w:r w:rsidR="002172AE" w:rsidRPr="00624190">
        <w:rPr>
          <w:rFonts w:ascii="Open Sans" w:hAnsi="Open Sans" w:cs="Open Sans"/>
          <w:sz w:val="22"/>
          <w:szCs w:val="22"/>
          <w:vertAlign w:val="superscript"/>
        </w:rPr>
        <w:footnoteReference w:id="91"/>
      </w:r>
      <w:r w:rsidR="004318A7" w:rsidRPr="004318A7">
        <w:rPr>
          <w:rFonts w:ascii="Open Sans" w:hAnsi="Open Sans" w:cs="Open Sans"/>
          <w:sz w:val="22"/>
          <w:szCs w:val="22"/>
        </w:rPr>
        <w:t xml:space="preserve"> </w:t>
      </w:r>
      <w:bookmarkStart w:id="78" w:name="_Hlk111034258"/>
      <w:r w:rsidRPr="004318A7">
        <w:rPr>
          <w:rFonts w:ascii="Open Sans" w:hAnsi="Open Sans" w:cs="Open Sans"/>
          <w:sz w:val="22"/>
          <w:szCs w:val="22"/>
        </w:rPr>
        <w:t xml:space="preserve">W takim przypadku, jeżeli </w:t>
      </w:r>
      <w:bookmarkStart w:id="79" w:name="_Hlk132539166"/>
      <w:r w:rsidRPr="004318A7">
        <w:rPr>
          <w:rFonts w:ascii="Open Sans" w:hAnsi="Open Sans" w:cs="Open Sans"/>
          <w:sz w:val="22"/>
          <w:szCs w:val="22"/>
        </w:rPr>
        <w:t>Beneficjent nie zgadza się ze stwierdzeniem wystąpieni</w:t>
      </w:r>
      <w:r w:rsidRPr="007A2BD2">
        <w:rPr>
          <w:rFonts w:ascii="Open Sans" w:hAnsi="Open Sans" w:cs="Open Sans"/>
          <w:sz w:val="22"/>
          <w:szCs w:val="22"/>
        </w:rPr>
        <w:t>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8"/>
      <w:r w:rsidRPr="007A2BD2">
        <w:rPr>
          <w:rFonts w:ascii="Open Sans" w:hAnsi="Open Sans" w:cs="Open Sans"/>
          <w:sz w:val="22"/>
          <w:szCs w:val="22"/>
        </w:rPr>
        <w:t>.</w:t>
      </w:r>
      <w:bookmarkEnd w:id="77"/>
    </w:p>
    <w:bookmarkEnd w:id="79"/>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92"/>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0"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0"/>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93"/>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lastRenderedPageBreak/>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1"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1"/>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2702C96C"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2"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6F18ED">
        <w:rPr>
          <w:rFonts w:ascii="Open Sans" w:hAnsi="Open Sans" w:cs="Open Sans"/>
          <w:sz w:val="22"/>
          <w:szCs w:val="22"/>
        </w:rPr>
        <w:t>4</w:t>
      </w:r>
      <w:r w:rsidRPr="007A2BD2">
        <w:rPr>
          <w:rFonts w:ascii="Open Sans" w:hAnsi="Open Sans" w:cs="Open Sans"/>
          <w:sz w:val="22"/>
          <w:szCs w:val="22"/>
        </w:rPr>
        <w:t xml:space="preserve"> r. poz. 1</w:t>
      </w:r>
      <w:r w:rsidR="006F18ED">
        <w:rPr>
          <w:rFonts w:ascii="Open Sans" w:hAnsi="Open Sans" w:cs="Open Sans"/>
          <w:sz w:val="22"/>
          <w:szCs w:val="22"/>
        </w:rPr>
        <w:t>320</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4"/>
      </w:r>
      <w:r w:rsidRPr="007A2BD2">
        <w:rPr>
          <w:rFonts w:ascii="Open Sans" w:hAnsi="Open Sans" w:cs="Open Sans"/>
          <w:sz w:val="22"/>
          <w:szCs w:val="22"/>
        </w:rPr>
        <w:t xml:space="preserve"> zwanej dalej „ustawą Pzp”, w przypadku, gdy wymóg jej stosowania wynika z ustawy Pzp. </w:t>
      </w:r>
    </w:p>
    <w:bookmarkEnd w:id="82"/>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5"/>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6"/>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w:t>
      </w:r>
      <w:r w:rsidRPr="007A2BD2">
        <w:rPr>
          <w:rFonts w:ascii="Open Sans" w:hAnsi="Open Sans" w:cs="Open Sans"/>
          <w:sz w:val="22"/>
          <w:szCs w:val="22"/>
        </w:rPr>
        <w:lastRenderedPageBreak/>
        <w:t xml:space="preserve">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97"/>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BF0F39">
        <w:rPr>
          <w:rStyle w:val="Odwoanieprzypisudolnego"/>
          <w:rFonts w:ascii="Open Sans" w:hAnsi="Open Sans"/>
        </w:rPr>
        <w:footnoteReference w:id="98"/>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3" w:name="_Hlk126676342"/>
      <w:r w:rsidRPr="007A2BD2">
        <w:rPr>
          <w:rFonts w:ascii="Open Sans" w:hAnsi="Open Sans" w:cs="Open Sans"/>
          <w:sz w:val="22"/>
          <w:szCs w:val="22"/>
        </w:rPr>
        <w:t>.</w:t>
      </w:r>
    </w:p>
    <w:bookmarkEnd w:id="83"/>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xml:space="preserve">) lub jeżeli zmiana wynika z rażącej niestaranności </w:t>
      </w:r>
      <w:r w:rsidRPr="007A2BD2">
        <w:rPr>
          <w:rFonts w:ascii="Open Sans" w:hAnsi="Open Sans" w:cs="Open Sans"/>
          <w:sz w:val="22"/>
          <w:szCs w:val="22"/>
        </w:rPr>
        <w:lastRenderedPageBreak/>
        <w:t>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9"/>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na roboty budowlane w umowach przewidujących wynagrodzenie kosztorysowe wynikające z likwidacji rozbieżności między projektem budowlanym a przedmiarem robót (kosztorysem), jeśli sposób wyceny nowych pozycji kosztorysu tworzonych na potrzeby wyceny robót </w:t>
      </w:r>
      <w:r w:rsidRPr="007A2BD2">
        <w:rPr>
          <w:rFonts w:ascii="Open Sans" w:hAnsi="Open Sans" w:cs="Open Sans"/>
          <w:sz w:val="22"/>
          <w:szCs w:val="22"/>
        </w:rPr>
        <w:lastRenderedPageBreak/>
        <w:t>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 xml:space="preserve">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w:t>
      </w:r>
      <w:r w:rsidRPr="007A2BD2">
        <w:rPr>
          <w:rFonts w:ascii="Open Sans" w:hAnsi="Open Sans" w:cs="Open Sans"/>
          <w:sz w:val="22"/>
          <w:szCs w:val="22"/>
        </w:rPr>
        <w:lastRenderedPageBreak/>
        <w:t>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100"/>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4"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lastRenderedPageBreak/>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4"/>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5" w:name="_Hlk111035661"/>
      <w:r w:rsidRPr="007A2BD2">
        <w:rPr>
          <w:rFonts w:ascii="Open Sans" w:hAnsi="Open Sans" w:cs="Open Sans"/>
          <w:sz w:val="22"/>
          <w:szCs w:val="22"/>
        </w:rPr>
        <w:t xml:space="preserve">Beneficjent zobowiązuje się do przechowywania, w sposób gwarantujący należyte bezpieczeństwo informacji, wszelkich danych i dokumentów związanych z realizacją </w:t>
      </w:r>
      <w:r w:rsidRPr="007A2BD2">
        <w:rPr>
          <w:rFonts w:ascii="Open Sans" w:hAnsi="Open Sans" w:cs="Open Sans"/>
          <w:sz w:val="22"/>
          <w:szCs w:val="22"/>
        </w:rPr>
        <w:lastRenderedPageBreak/>
        <w:t>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5"/>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101"/>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de minimis</w:t>
      </w:r>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102"/>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103"/>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87" w:name="_Hlk167877330"/>
      <w:r w:rsidRPr="00E25025">
        <w:rPr>
          <w:rFonts w:ascii="Open Sans" w:hAnsi="Open Sans" w:cs="Open Sans"/>
          <w:sz w:val="22"/>
          <w:szCs w:val="22"/>
        </w:rPr>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87"/>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11EA74EC"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788"/>
      <w:r w:rsidRPr="007A2BD2">
        <w:rPr>
          <w:rFonts w:ascii="Open Sans" w:hAnsi="Open Sans" w:cs="Open Sans"/>
          <w:sz w:val="22"/>
          <w:szCs w:val="22"/>
        </w:rPr>
        <w:lastRenderedPageBreak/>
        <w:t xml:space="preserve">Wszystkie dokumenty oraz zapisy księgowe związane z realizacją Projektu podlegają kontroli przez podmioty, o których mowa w </w:t>
      </w:r>
      <w:bookmarkStart w:id="89"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w:t>
      </w:r>
      <w:bookmarkEnd w:id="89"/>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8"/>
      <w:r w:rsidRPr="007A2BD2">
        <w:rPr>
          <w:rFonts w:ascii="Open Sans" w:hAnsi="Open Sans" w:cs="Open Sans"/>
          <w:sz w:val="22"/>
          <w:szCs w:val="22"/>
        </w:rPr>
        <w:t>.</w:t>
      </w:r>
    </w:p>
    <w:p w14:paraId="6D05BEEF" w14:textId="510F36A6"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 dostęp do miejsc realizacji Projektu, w celu przeprowadzenia kontroli, w tym wizyty monitoringowej.</w:t>
      </w:r>
      <w:bookmarkEnd w:id="90"/>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1"/>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2"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3" w:name="_M657410519"/>
      <w:bookmarkEnd w:id="93"/>
      <w:r w:rsidRPr="007A2BD2">
        <w:rPr>
          <w:rFonts w:ascii="Open Sans" w:hAnsi="Open Sans" w:cs="Open Sans"/>
          <w:sz w:val="22"/>
          <w:szCs w:val="22"/>
        </w:rPr>
        <w:t>.</w:t>
      </w:r>
      <w:bookmarkEnd w:id="92"/>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5" w:name="_Hlk111728707"/>
      <w:r w:rsidRPr="007A2BD2">
        <w:rPr>
          <w:rFonts w:ascii="Open Sans" w:hAnsi="Open Sans" w:cs="Open Sans"/>
          <w:i/>
          <w:iCs/>
          <w:sz w:val="22"/>
          <w:szCs w:val="22"/>
        </w:rPr>
        <w:t>Wytycznych dotyczących kontroli realizacji programów polityki spójności na lata 2021-2027.</w:t>
      </w:r>
      <w:bookmarkEnd w:id="94"/>
      <w:bookmarkEnd w:id="95"/>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1B010EA4"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6"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7" w:name="_Hlk117077470"/>
      <w:r w:rsidRPr="007A2BD2">
        <w:rPr>
          <w:rFonts w:ascii="Open Sans" w:hAnsi="Open Sans" w:cs="Open Sans"/>
          <w:sz w:val="22"/>
          <w:szCs w:val="22"/>
        </w:rPr>
        <w:t xml:space="preserve">(w tym kontrolnych) </w:t>
      </w:r>
      <w:bookmarkEnd w:id="97"/>
      <w:r w:rsidRPr="007A2BD2">
        <w:rPr>
          <w:rFonts w:ascii="Open Sans" w:hAnsi="Open Sans" w:cs="Open Sans"/>
          <w:sz w:val="22"/>
          <w:szCs w:val="22"/>
        </w:rPr>
        <w:t xml:space="preserve">lub postępowań prowadzonych w szczególności przez organy ścigania </w:t>
      </w:r>
      <w:bookmarkStart w:id="98" w:name="_Hlk117077485"/>
      <w:r w:rsidRPr="007A2BD2">
        <w:rPr>
          <w:rFonts w:ascii="Open Sans" w:hAnsi="Open Sans" w:cs="Open Sans"/>
          <w:sz w:val="22"/>
          <w:szCs w:val="22"/>
        </w:rPr>
        <w:t>bądź organy nadzoru</w:t>
      </w:r>
      <w:bookmarkEnd w:id="98"/>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9" w:name="_Hlk117077502"/>
      <w:r w:rsidRPr="007A2BD2">
        <w:rPr>
          <w:rFonts w:ascii="Open Sans" w:hAnsi="Open Sans" w:cs="Open Sans"/>
          <w:sz w:val="22"/>
          <w:szCs w:val="22"/>
        </w:rPr>
        <w:t xml:space="preserve">podmiotów, o których mowa art.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w:t>
      </w:r>
      <w:bookmarkEnd w:id="99"/>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0"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6"/>
      <w:bookmarkEnd w:id="100"/>
    </w:p>
    <w:p w14:paraId="47DF10E0" w14:textId="0897CF0F"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1" w:name="_Hlk122351203"/>
      <w:r w:rsidRPr="007A2BD2">
        <w:rPr>
          <w:rFonts w:ascii="Open Sans" w:hAnsi="Open Sans" w:cs="Open Sans"/>
          <w:sz w:val="22"/>
          <w:szCs w:val="22"/>
        </w:rPr>
        <w:lastRenderedPageBreak/>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 w tym udzielania wyjaśnień.</w:t>
      </w:r>
      <w:bookmarkEnd w:id="101"/>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2"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2"/>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4"/>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5"/>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6"/>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7"/>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8"/>
      </w:r>
    </w:p>
    <w:p w14:paraId="0A1FEDAD" w14:textId="39259C30"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9"/>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B10056">
        <w:rPr>
          <w:rFonts w:ascii="Open Sans" w:hAnsi="Open Sans" w:cs="Open Sans"/>
          <w:sz w:val="22"/>
          <w:szCs w:val="22"/>
        </w:rPr>
        <w:t>5</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FE5B5E2"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lastRenderedPageBreak/>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214FC566"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r w:rsidR="009654BB" w:rsidRPr="009654BB">
        <w:rPr>
          <w:rFonts w:ascii="Open Sans" w:hAnsi="Open Sans" w:cs="Open Sans"/>
        </w:rPr>
        <w:t xml:space="preserve"> </w:t>
      </w:r>
      <w:r w:rsidR="009654BB" w:rsidRPr="008A2305">
        <w:rPr>
          <w:rFonts w:ascii="Open Sans" w:hAnsi="Open Sans" w:cs="Open Sans"/>
          <w:sz w:val="22"/>
          <w:szCs w:val="22"/>
        </w:rPr>
        <w:t xml:space="preserve">oraz wartości kosztów pośrednich rozliczonych jako stawka ryczałtowa naliczona od kwalifikowalnych kosztów bezpośrednich </w:t>
      </w:r>
      <w:r w:rsidR="005055F5">
        <w:rPr>
          <w:rFonts w:ascii="Open Sans" w:hAnsi="Open Sans" w:cs="Open Sans"/>
          <w:sz w:val="22"/>
          <w:szCs w:val="22"/>
        </w:rPr>
        <w:t xml:space="preserve">uznanych za </w:t>
      </w:r>
      <w:r w:rsidR="009654BB" w:rsidRPr="008A2305">
        <w:rPr>
          <w:rFonts w:ascii="Open Sans" w:hAnsi="Open Sans" w:cs="Open Sans"/>
          <w:sz w:val="22"/>
          <w:szCs w:val="22"/>
        </w:rPr>
        <w:t>poniesio</w:t>
      </w:r>
      <w:r w:rsidR="005055F5">
        <w:rPr>
          <w:rFonts w:ascii="Open Sans" w:hAnsi="Open Sans" w:cs="Open Sans"/>
          <w:sz w:val="22"/>
          <w:szCs w:val="22"/>
        </w:rPr>
        <w:t>ne</w:t>
      </w:r>
      <w:r w:rsidR="009654BB" w:rsidRPr="008A2305">
        <w:rPr>
          <w:rFonts w:ascii="Open Sans" w:hAnsi="Open Sans" w:cs="Open Sans"/>
          <w:sz w:val="22"/>
          <w:szCs w:val="22"/>
        </w:rPr>
        <w:t xml:space="preserve"> nieprawidłowo</w:t>
      </w:r>
      <w:r w:rsidR="008E6DEA">
        <w:rPr>
          <w:rFonts w:ascii="Open Sans" w:hAnsi="Open Sans" w:cs="Open Sans"/>
          <w:sz w:val="22"/>
          <w:szCs w:val="22"/>
        </w:rPr>
        <w:t>.</w:t>
      </w:r>
      <w:r w:rsidR="009654BB" w:rsidRPr="008A2305">
        <w:rPr>
          <w:rStyle w:val="Odwoanieprzypisudolnego"/>
          <w:rFonts w:ascii="Open Sans" w:hAnsi="Open Sans"/>
          <w:sz w:val="22"/>
          <w:szCs w:val="22"/>
        </w:rPr>
        <w:footnoteReference w:id="111"/>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12"/>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lastRenderedPageBreak/>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4"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4"/>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0C54A1C4"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5" w:name="_Hlk131019426"/>
      <w:r w:rsidR="001429E3" w:rsidRPr="007A2BD2">
        <w:rPr>
          <w:rFonts w:ascii="Open Sans" w:hAnsi="Open Sans" w:cs="Open Sans"/>
          <w:sz w:val="22"/>
          <w:szCs w:val="22"/>
        </w:rPr>
        <w:t xml:space="preserve"> </w:t>
      </w:r>
      <w:bookmarkEnd w:id="105"/>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 xml:space="preserve">rojektu przekracza 500 000 </w:t>
      </w:r>
      <w:r w:rsidRPr="007A2BD2">
        <w:rPr>
          <w:rFonts w:ascii="Open Sans" w:hAnsi="Open Sans" w:cs="Open Sans"/>
          <w:sz w:val="22"/>
          <w:szCs w:val="22"/>
        </w:rPr>
        <w:lastRenderedPageBreak/>
        <w:t>EUR.</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6" w:name="_Hlk131160606"/>
      <w:bookmarkStart w:id="107"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6"/>
      <w:r w:rsidRPr="007A2BD2">
        <w:rPr>
          <w:rFonts w:ascii="Open Sans" w:hAnsi="Open Sans" w:cs="Open Sans"/>
          <w:sz w:val="22"/>
          <w:szCs w:val="22"/>
        </w:rPr>
        <w:t>:</w:t>
      </w:r>
    </w:p>
    <w:bookmarkEnd w:id="107"/>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5"/>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6"/>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7"/>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w:t>
      </w:r>
      <w:r w:rsidRPr="007A2BD2">
        <w:rPr>
          <w:rFonts w:ascii="Open Sans" w:hAnsi="Open Sans" w:cs="Open Sans"/>
          <w:sz w:val="22"/>
          <w:szCs w:val="22"/>
        </w:rPr>
        <w:lastRenderedPageBreak/>
        <w:t>zwrotu, następuje on w trybie i na zasadach określonych w art. 207 ustawy o finansach publicznych.</w:t>
      </w:r>
    </w:p>
    <w:p w14:paraId="5D88E885" w14:textId="53C0D562"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U. z 2022 r. poz. 2509</w:t>
      </w:r>
      <w:r w:rsidR="006F18ED">
        <w:rPr>
          <w:rFonts w:ascii="Open Sans" w:hAnsi="Open Sans" w:cs="Open Sans"/>
          <w:sz w:val="22"/>
          <w:szCs w:val="22"/>
        </w:rPr>
        <w:t>, z późn. zm.</w:t>
      </w:r>
      <w:r w:rsidRPr="007A2BD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8"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8"/>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25CE8929"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lastRenderedPageBreak/>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8"/>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9" w:name="_Hlk121209912"/>
      <w:r w:rsidRPr="007A2BD2">
        <w:rPr>
          <w:rFonts w:ascii="Open Sans" w:hAnsi="Open Sans" w:cs="Open Sans"/>
          <w:sz w:val="22"/>
          <w:szCs w:val="22"/>
        </w:rPr>
        <w:t>SL2021</w:t>
      </w:r>
      <w:bookmarkEnd w:id="109"/>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0"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1" w:name="_Hlk121209955"/>
      <w:r w:rsidRPr="007A2BD2">
        <w:rPr>
          <w:rFonts w:ascii="Open Sans" w:hAnsi="Open Sans" w:cs="Open Sans"/>
          <w:sz w:val="22"/>
          <w:szCs w:val="22"/>
        </w:rPr>
        <w:t>SL2021 pomiędzy Beneficjentem a Instytucj</w:t>
      </w:r>
      <w:bookmarkEnd w:id="111"/>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0"/>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2"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3"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3"/>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2)</w:t>
      </w:r>
      <w:r w:rsidRPr="007A2BD2">
        <w:rPr>
          <w:rFonts w:ascii="Open Sans" w:hAnsi="Open Sans" w:cs="Open Sans"/>
          <w:sz w:val="22"/>
          <w:szCs w:val="22"/>
        </w:rPr>
        <w:tab/>
      </w:r>
      <w:bookmarkStart w:id="114"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4"/>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2"/>
      <w:r w:rsidR="0086487D" w:rsidRPr="007A2BD2">
        <w:rPr>
          <w:rStyle w:val="Odwoanieprzypisudolnego"/>
          <w:rFonts w:ascii="Open Sans" w:hAnsi="Open Sans" w:cs="Open Sans"/>
          <w:sz w:val="22"/>
          <w:szCs w:val="22"/>
        </w:rPr>
        <w:footnoteReference w:id="120"/>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5"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21"/>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22"/>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7"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7"/>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5"/>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8" w:name="_Hlk121210354"/>
      <w:bookmarkStart w:id="119"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118"/>
      <w:r w:rsidRPr="007A2BD2">
        <w:rPr>
          <w:rFonts w:ascii="Open Sans" w:hAnsi="Open Sans" w:cs="Open Sans"/>
          <w:sz w:val="22"/>
          <w:szCs w:val="22"/>
        </w:rPr>
        <w:t>.</w:t>
      </w:r>
      <w:bookmarkEnd w:id="119"/>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0"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0"/>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1" w:name="_Hlk121210467"/>
      <w:bookmarkStart w:id="122"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1"/>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3"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3"/>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4"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23"/>
      </w:r>
      <w:r w:rsidRPr="007A2BD2">
        <w:rPr>
          <w:rFonts w:ascii="Open Sans" w:hAnsi="Open Sans" w:cs="Open Sans"/>
          <w:i/>
          <w:sz w:val="22"/>
          <w:szCs w:val="22"/>
        </w:rPr>
        <w:t>.</w:t>
      </w:r>
      <w:bookmarkEnd w:id="124"/>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5"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5"/>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6"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6"/>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7"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7"/>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8"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lastRenderedPageBreak/>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8"/>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9"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9"/>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0"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0"/>
    </w:p>
    <w:bookmarkEnd w:id="122"/>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1"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2" w:name="_Hlk128126833"/>
      <w:r w:rsidRPr="007A2BD2">
        <w:rPr>
          <w:rFonts w:ascii="Open Sans" w:hAnsi="Open Sans" w:cs="Open Sans"/>
          <w:sz w:val="22"/>
          <w:szCs w:val="22"/>
        </w:rPr>
        <w:t>na podstawie art. 90 ust. 2 w związku z art. 87 ust. 1 ustawy</w:t>
      </w:r>
      <w:bookmarkEnd w:id="132"/>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24"/>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5"/>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6"/>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3" w:name="_Hlk107992370"/>
      <w:r w:rsidRPr="007A2BD2">
        <w:rPr>
          <w:rFonts w:ascii="Open Sans" w:hAnsi="Open Sans" w:cs="Open Sans"/>
          <w:sz w:val="22"/>
          <w:szCs w:val="22"/>
        </w:rPr>
        <w:t xml:space="preserve">i zgłasza, a także zawiadamia osoby, których dane dotyczą, </w:t>
      </w:r>
      <w:bookmarkEnd w:id="133"/>
      <w:r w:rsidRPr="007A2BD2">
        <w:rPr>
          <w:rFonts w:ascii="Open Sans" w:hAnsi="Open Sans" w:cs="Open Sans"/>
          <w:sz w:val="22"/>
          <w:szCs w:val="22"/>
        </w:rPr>
        <w:t xml:space="preserve">zgodnie z własnymi regulacjami </w:t>
      </w:r>
      <w:r w:rsidRPr="007A2BD2">
        <w:rPr>
          <w:rFonts w:ascii="Open Sans" w:hAnsi="Open Sans" w:cs="Open Sans"/>
          <w:sz w:val="22"/>
          <w:szCs w:val="22"/>
        </w:rPr>
        <w:lastRenderedPageBreak/>
        <w:t>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4"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4"/>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5" w:name="_Hlk107992490"/>
      <w:r w:rsidRPr="007A2BD2">
        <w:rPr>
          <w:rFonts w:ascii="Open Sans" w:hAnsi="Open Sans" w:cs="Open Sans"/>
          <w:sz w:val="22"/>
          <w:szCs w:val="22"/>
        </w:rPr>
        <w:t xml:space="preserve">które mogą mieć negatywny wpływ na ich przetwarzanie </w:t>
      </w:r>
      <w:bookmarkEnd w:id="135"/>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6"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36"/>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 xml:space="preserve">wypełnia – albo w momencie zbierania danych osobowych (najpóźniej w chwili </w:t>
      </w:r>
      <w:r w:rsidRPr="007A2BD2">
        <w:rPr>
          <w:rFonts w:ascii="Open Sans" w:hAnsi="Open Sans" w:cs="Open Sans"/>
          <w:sz w:val="22"/>
          <w:szCs w:val="22"/>
        </w:rPr>
        <w:lastRenderedPageBreak/>
        <w:t>ich zebrania), albo bezpośrednio przed ich zebraniem</w:t>
      </w:r>
      <w:r w:rsidR="00CB6107" w:rsidRPr="007A2BD2">
        <w:rPr>
          <w:rStyle w:val="Odwoanieprzypisudolnego"/>
          <w:rFonts w:ascii="Open Sans" w:hAnsi="Open Sans" w:cs="Open Sans"/>
          <w:sz w:val="22"/>
          <w:szCs w:val="22"/>
        </w:rPr>
        <w:footnoteReference w:id="127"/>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8"/>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8"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8"/>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1"/>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9"/>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30"/>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0" w:name="_Hlk136848027"/>
      <w:r w:rsidR="008275FB" w:rsidRPr="007A2BD2">
        <w:rPr>
          <w:rFonts w:ascii="Open Sans" w:hAnsi="Open Sans" w:cs="Open Sans"/>
          <w:sz w:val="22"/>
          <w:szCs w:val="22"/>
        </w:rPr>
        <w:t xml:space="preserve">lub obowiązywania w </w:t>
      </w:r>
      <w:bookmarkEnd w:id="140"/>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31"/>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 xml:space="preserve">3, Beneficjent zobowiązany jest do zwrotu przekazanego dotychczas dofinansowania wraz z odsetkami w wysokości określonej jak dla zaległości </w:t>
      </w:r>
      <w:r w:rsidRPr="007A2BD2">
        <w:rPr>
          <w:rFonts w:ascii="Open Sans" w:hAnsi="Open Sans" w:cs="Open Sans"/>
          <w:sz w:val="22"/>
          <w:szCs w:val="22"/>
        </w:rPr>
        <w:lastRenderedPageBreak/>
        <w:t>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32"/>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33"/>
      </w:r>
      <w:r w:rsidR="00D51F08" w:rsidRPr="007A2BD2" w:rsidDel="00D51F08">
        <w:rPr>
          <w:rFonts w:ascii="Open Sans" w:hAnsi="Open Sans" w:cs="Open Sans"/>
          <w:b/>
          <w:bCs/>
          <w:sz w:val="22"/>
          <w:szCs w:val="22"/>
        </w:rPr>
        <w:t xml:space="preserve"> </w:t>
      </w:r>
    </w:p>
    <w:p w14:paraId="034AE5F6" w14:textId="77777777" w:rsidR="008104C2" w:rsidRDefault="00BA05E3" w:rsidP="008A2305">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34"/>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41" w:name="_Hlk127268570"/>
      <w:bookmarkStart w:id="142" w:name="_Hlk127268600"/>
      <w:r w:rsidRPr="007A2BD2">
        <w:rPr>
          <w:rFonts w:ascii="Open Sans" w:hAnsi="Open Sans" w:cs="Open Sans"/>
          <w:b/>
          <w:bCs/>
          <w:sz w:val="22"/>
          <w:szCs w:val="22"/>
        </w:rPr>
        <w:t>Warunki zawieszające przekazanie dofinansowania związane z zabezpieczeniem wykonania Umowy</w:t>
      </w:r>
      <w:bookmarkEnd w:id="141"/>
      <w:r w:rsidRPr="007A2BD2">
        <w:rPr>
          <w:rStyle w:val="Odwoanieprzypisudolnego"/>
          <w:rFonts w:ascii="Open Sans" w:hAnsi="Open Sans" w:cs="Open Sans"/>
          <w:b/>
          <w:bCs/>
          <w:sz w:val="22"/>
          <w:szCs w:val="22"/>
        </w:rPr>
        <w:footnoteReference w:id="135"/>
      </w:r>
    </w:p>
    <w:bookmarkEnd w:id="142"/>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36"/>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lastRenderedPageBreak/>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34B55671"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w:t>
      </w:r>
      <w:r w:rsidR="000A139F">
        <w:rPr>
          <w:rFonts w:ascii="Open Sans" w:hAnsi="Open Sans" w:cs="Open Sans"/>
          <w:sz w:val="22"/>
          <w:szCs w:val="22"/>
        </w:rPr>
        <w:t xml:space="preserve"> oraz kwoty dofinansowania, o której mowa w § 6 ust. 1</w:t>
      </w:r>
      <w:r w:rsidRPr="007A2BD2">
        <w:rPr>
          <w:rFonts w:ascii="Open Sans" w:hAnsi="Open Sans" w:cs="Open Sans"/>
          <w:sz w:val="22"/>
          <w:szCs w:val="22"/>
        </w:rPr>
        <w:t>, o czym poinformuje Beneficjenta w formie pisemnej.</w:t>
      </w:r>
      <w:r w:rsidR="00B026AF" w:rsidRPr="007A2BD2">
        <w:rPr>
          <w:rFonts w:ascii="Open Sans" w:hAnsi="Open Sans" w:cs="Open Sans"/>
          <w:sz w:val="22"/>
          <w:szCs w:val="22"/>
        </w:rPr>
        <w:t xml:space="preserve"> </w:t>
      </w:r>
      <w:bookmarkStart w:id="143" w:name="_Hlk122033255"/>
      <w:bookmarkStart w:id="144" w:name="_Hlk122515081"/>
      <w:r w:rsidR="00B026AF" w:rsidRPr="007A2BD2">
        <w:rPr>
          <w:rFonts w:ascii="Open Sans" w:hAnsi="Open Sans" w:cs="Open Sans"/>
          <w:sz w:val="22"/>
          <w:szCs w:val="22"/>
        </w:rPr>
        <w:t>Stanowisko Instytucji Wdrażającej w powyższym zakresie będzie wiążące dla Beneficjenta</w:t>
      </w:r>
      <w:bookmarkEnd w:id="143"/>
      <w:r w:rsidR="00B026AF" w:rsidRPr="007A2BD2">
        <w:rPr>
          <w:rFonts w:ascii="Open Sans" w:hAnsi="Open Sans" w:cs="Open Sans"/>
          <w:sz w:val="22"/>
          <w:szCs w:val="22"/>
        </w:rPr>
        <w:t>.</w:t>
      </w:r>
      <w:bookmarkEnd w:id="144"/>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75E32C6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064E96">
        <w:rPr>
          <w:rFonts w:ascii="Open Sans" w:hAnsi="Open Sans" w:cs="Open Sans"/>
          <w:sz w:val="22"/>
          <w:szCs w:val="22"/>
        </w:rPr>
        <w:t>4</w:t>
      </w:r>
      <w:r w:rsidR="004D0FAD" w:rsidRPr="007A2BD2">
        <w:rPr>
          <w:rFonts w:ascii="Open Sans" w:hAnsi="Open Sans" w:cs="Open Sans"/>
          <w:sz w:val="22"/>
          <w:szCs w:val="22"/>
        </w:rPr>
        <w:t xml:space="preserve"> r. poz. </w:t>
      </w:r>
      <w:r w:rsidR="00064E96">
        <w:rPr>
          <w:rFonts w:ascii="Open Sans" w:hAnsi="Open Sans" w:cs="Open Sans"/>
          <w:sz w:val="22"/>
          <w:szCs w:val="22"/>
        </w:rPr>
        <w:t>1045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5"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6" w:name="_Hlk131416280"/>
      <w:r w:rsidR="00772FBB" w:rsidRPr="007A2BD2">
        <w:rPr>
          <w:rStyle w:val="Odwoanieprzypisudolnego"/>
          <w:rFonts w:ascii="Open Sans" w:hAnsi="Open Sans" w:cs="Open Sans"/>
          <w:sz w:val="22"/>
          <w:szCs w:val="22"/>
        </w:rPr>
        <w:footnoteReference w:id="137"/>
      </w:r>
      <w:bookmarkEnd w:id="145"/>
      <w:bookmarkEnd w:id="146"/>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26833F2F"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7"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7"/>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lastRenderedPageBreak/>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8"/>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9"/>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8"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8"/>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9"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9"/>
      <w:r w:rsidR="00407C79" w:rsidRPr="007A2BD2">
        <w:rPr>
          <w:rFonts w:ascii="Open Sans" w:hAnsi="Open Sans" w:cs="Open Sans"/>
          <w:sz w:val="22"/>
          <w:szCs w:val="22"/>
        </w:rPr>
        <w:t>.</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DD371" w14:textId="77777777" w:rsidR="007B78D8" w:rsidRDefault="007B78D8">
      <w:r>
        <w:separator/>
      </w:r>
    </w:p>
  </w:endnote>
  <w:endnote w:type="continuationSeparator" w:id="0">
    <w:p w14:paraId="4457D514" w14:textId="77777777" w:rsidR="007B78D8" w:rsidRDefault="007B7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9BCE4" w14:textId="77777777" w:rsidR="007B78D8" w:rsidRDefault="007B78D8">
      <w:r>
        <w:separator/>
      </w:r>
    </w:p>
  </w:footnote>
  <w:footnote w:type="continuationSeparator" w:id="0">
    <w:p w14:paraId="66F962A4" w14:textId="77777777" w:rsidR="007B78D8" w:rsidRDefault="007B78D8">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3">
    <w:p w14:paraId="7AB6A5E2" w14:textId="722972FA"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nie jest wymagany</w:t>
      </w:r>
      <w:r w:rsidR="006E56CB" w:rsidRPr="009B5CD7">
        <w:rPr>
          <w:rFonts w:ascii="Open Sans" w:hAnsi="Open Sans" w:cs="Open Sans"/>
        </w:rPr>
        <w:t>.</w:t>
      </w:r>
    </w:p>
  </w:footnote>
  <w:footnote w:id="14">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5">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6">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8">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19">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2">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3">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4">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6">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7">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8">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29">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0">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1">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2">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3">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4">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5">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6">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7">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39">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0">
    <w:p w14:paraId="71829EEE" w14:textId="09AD40BA" w:rsidR="006E7EF3" w:rsidRDefault="006E7EF3" w:rsidP="006E7EF3">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C0DB9D2" w14:textId="3B2CC826" w:rsidR="00806543" w:rsidRPr="008A2305" w:rsidRDefault="00806543" w:rsidP="00806543">
      <w:pPr>
        <w:pStyle w:val="Tekstprzypisudolnego"/>
        <w:rPr>
          <w:rFonts w:ascii="Open Sans" w:hAnsi="Open Sans" w:cs="Open Sans"/>
        </w:rPr>
      </w:pPr>
      <w:r>
        <w:rPr>
          <w:rStyle w:val="Odwoanieprzypisudolnego"/>
        </w:rPr>
        <w:footnoteRef/>
      </w:r>
      <w:r w:rsidRPr="008A2305">
        <w:rPr>
          <w:rFonts w:ascii="Open Sans" w:hAnsi="Open Sans" w:cs="Open Sans"/>
          <w:u w:val="single"/>
        </w:rPr>
        <w:t xml:space="preserve">W rozumieniu art. 28 </w:t>
      </w:r>
      <w:r w:rsidR="00632737">
        <w:rPr>
          <w:rFonts w:ascii="Open Sans" w:hAnsi="Open Sans" w:cs="Open Sans"/>
          <w:u w:val="single"/>
        </w:rPr>
        <w:t xml:space="preserve">ustawy </w:t>
      </w:r>
      <w:r w:rsidRPr="008A2305">
        <w:rPr>
          <w:rFonts w:ascii="Open Sans" w:hAnsi="Open Sans" w:cs="Open Sans"/>
          <w:u w:val="single"/>
        </w:rPr>
        <w:t>Pzp / Pkt. 1 sekcji 3.2.2. Wytycznych dot</w:t>
      </w:r>
      <w:r w:rsidR="00632737">
        <w:rPr>
          <w:rFonts w:ascii="Open Sans" w:hAnsi="Open Sans" w:cs="Open Sans"/>
          <w:u w:val="single"/>
        </w:rPr>
        <w:t>yczących</w:t>
      </w:r>
      <w:r w:rsidRPr="008A2305">
        <w:rPr>
          <w:rFonts w:ascii="Open Sans" w:hAnsi="Open Sans" w:cs="Open Sans"/>
          <w:u w:val="single"/>
        </w:rPr>
        <w:t xml:space="preserve"> kwalifikowalności wydatków na lata 2021-2027</w:t>
      </w:r>
    </w:p>
    <w:p w14:paraId="3489153B" w14:textId="059E5CA6" w:rsidR="00806543" w:rsidRDefault="00806543">
      <w:pPr>
        <w:pStyle w:val="Tekstprzypisudolnego"/>
      </w:pPr>
      <w:r>
        <w:t xml:space="preserve"> </w:t>
      </w:r>
    </w:p>
  </w:footnote>
  <w:footnote w:id="43">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4">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5">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6">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7">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8">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9">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50">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odwołań od tej decyzji (tzw. decyzji reformatoryjnej), decyzji wydanej w wyniku wznowienia postępowania w sprawie zakończonej ostatecznymi decyzjami.</w:t>
      </w:r>
    </w:p>
  </w:footnote>
  <w:footnote w:id="51">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2">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3">
    <w:p w14:paraId="64B44E44" w14:textId="77777777" w:rsidR="009564E2" w:rsidRDefault="009564E2" w:rsidP="009564E2">
      <w:pPr>
        <w:pStyle w:val="Tekstprzypisudolnego"/>
        <w:jc w:val="both"/>
      </w:pPr>
      <w:r>
        <w:rPr>
          <w:rStyle w:val="Odwoanieprzypisudolnego"/>
        </w:rPr>
        <w:footnoteRef/>
      </w:r>
      <w:r>
        <w:t xml:space="preserve"> </w:t>
      </w:r>
      <w:r w:rsidRPr="00E607D8">
        <w:rPr>
          <w:rFonts w:ascii="Open Sans" w:hAnsi="Open Sans" w:cs="Open Sans"/>
        </w:rPr>
        <w:t>Niepotrzebne wykreślić. Wskazanie terminu złożenia raportu końcowego, o którym mowa w § 4c ust. 2, należy pozostawić wyłącznie w przypadku niewykreślenia § 4c z treści Umowy. W sytuacji, gdy § 4c podlega wykreśleniu, należy pozostawić jedynie termin złożenia wniosku o płatność końcową.</w:t>
      </w:r>
    </w:p>
  </w:footnote>
  <w:footnote w:id="54">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5">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6">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7">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8">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9">
    <w:p w14:paraId="515CD7BD" w14:textId="77777777" w:rsidR="005C2DE3" w:rsidRPr="00D86EFF" w:rsidRDefault="005C2DE3" w:rsidP="005C2DE3">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 xml:space="preserve">W pozostałych przypadkach należy wykreślić. </w:t>
      </w:r>
    </w:p>
  </w:footnote>
  <w:footnote w:id="60">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61">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62">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58"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58"/>
    </w:p>
  </w:footnote>
  <w:footnote w:id="63">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4">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1" w:name="_Hlk172267193"/>
      <w:r w:rsidRPr="00783399">
        <w:rPr>
          <w:rFonts w:ascii="Open Sans" w:hAnsi="Open Sans" w:cs="Open Sans"/>
          <w:iCs/>
        </w:rPr>
        <w:t>których dofinansowanie stanowi pomoc publiczną wymagającą wykazania tzw. efektu zachęty</w:t>
      </w:r>
      <w:bookmarkEnd w:id="61"/>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footnote>
  <w:footnote w:id="65">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6">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7">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8">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9">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70">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71">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2">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73">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74">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Postanowienie dotyczy projektów, dla których VAT stanowi wydatek niekwalifikowalny, zgodnie z treścią regulaminu wyboru projektów lub S</w:t>
      </w:r>
      <w:r w:rsidR="000120BA" w:rsidRPr="009B5CD7">
        <w:rPr>
          <w:rFonts w:ascii="Open Sans" w:hAnsi="Open Sans" w:cs="Open Sans"/>
        </w:rPr>
        <w:t>z</w:t>
      </w:r>
      <w:r w:rsidR="00566087" w:rsidRPr="009B5CD7">
        <w:rPr>
          <w:rFonts w:ascii="Open Sans" w:hAnsi="Open Sans" w:cs="Open Sans"/>
        </w:rPr>
        <w:t>OP FEnIKS (wykreślić jeśli nie dotyczy).</w:t>
      </w:r>
    </w:p>
  </w:footnote>
  <w:footnote w:id="75">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r w:rsidR="000120BA" w:rsidRPr="009B5CD7">
        <w:rPr>
          <w:rFonts w:ascii="Open Sans" w:hAnsi="Open Sans" w:cs="Open Sans"/>
        </w:rPr>
        <w:t>Sz</w:t>
      </w:r>
      <w:r w:rsidR="00566087" w:rsidRPr="009B5CD7">
        <w:rPr>
          <w:rFonts w:ascii="Open Sans" w:hAnsi="Open Sans" w:cs="Open Sans"/>
        </w:rPr>
        <w:t xml:space="preserve">OP FEnIKS (wykreślić jeśli nie dotyczy). </w:t>
      </w:r>
    </w:p>
    <w:bookmarkStart w:id="65" w:name="_Hlk121908283"/>
    <w:bookmarkEnd w:id="65"/>
  </w:footnote>
  <w:footnote w:id="76">
    <w:p w14:paraId="2B62547B" w14:textId="3D78AB5B" w:rsidR="00A53CDE" w:rsidRPr="00D305A9" w:rsidRDefault="00A53CDE" w:rsidP="009B5CD7">
      <w:pPr>
        <w:pStyle w:val="Tekstprzypisudolnego"/>
        <w:jc w:val="both"/>
        <w:rPr>
          <w:rFonts w:ascii="Open Sans" w:hAnsi="Open Sans" w:cs="Open Sans"/>
        </w:rPr>
      </w:pPr>
      <w:bookmarkStart w:id="66" w:name="_Hlk121908283"/>
      <w:bookmarkEnd w:id="66"/>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późn. zm.</w:t>
      </w:r>
      <w:r w:rsidRPr="00D305A9">
        <w:rPr>
          <w:rFonts w:ascii="Open Sans" w:hAnsi="Open Sans" w:cs="Open Sans"/>
        </w:rPr>
        <w:t>), sytuacje takie zostały przewidziane w art. 86 ust. 2a, art. 86 ust. 7b oraz art. 90 ust 1 i 2 tejże ustawy.</w:t>
      </w:r>
    </w:p>
  </w:footnote>
  <w:footnote w:id="77">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8">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7"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7"/>
      <w:r w:rsidR="002403EF" w:rsidRPr="009B5CD7">
        <w:rPr>
          <w:rFonts w:ascii="Open Sans" w:hAnsi="Open Sans" w:cs="Open Sans"/>
        </w:rPr>
        <w:t>w przypadku, gdy dofinansowanie danego projektu stanowi pomoc publiczną.</w:t>
      </w:r>
    </w:p>
    <w:bookmarkStart w:id="68" w:name="_Hlk120624443"/>
    <w:bookmarkEnd w:id="68"/>
  </w:footnote>
  <w:footnote w:id="79">
    <w:p w14:paraId="7743A04A" w14:textId="16BFBB1D" w:rsidR="00642E8A" w:rsidRPr="00D305A9" w:rsidRDefault="003F4345" w:rsidP="009B5CD7">
      <w:pPr>
        <w:pStyle w:val="Tekstprzypisudolnego"/>
        <w:jc w:val="both"/>
        <w:rPr>
          <w:rFonts w:ascii="Open Sans" w:hAnsi="Open Sans" w:cs="Open Sans"/>
        </w:rPr>
      </w:pPr>
      <w:bookmarkStart w:id="69" w:name="_Hlk120624443"/>
      <w:bookmarkEnd w:id="69"/>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0">
    <w:p w14:paraId="738EF650" w14:textId="0A97E808"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/niekwalifikowalne (niewłaściwe usunąć) zgodnie z treścią regulaminu wyboru projektów i SzOP FEnIKS.</w:t>
      </w:r>
      <w:r w:rsidR="00F668C1" w:rsidRPr="009B5CD7">
        <w:rPr>
          <w:rFonts w:ascii="Open Sans" w:hAnsi="Open Sans" w:cs="Open Sans"/>
        </w:rPr>
        <w:t xml:space="preserve"> </w:t>
      </w:r>
      <w:r w:rsidR="00C717E8"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717E8">
        <w:rPr>
          <w:rFonts w:ascii="Open Sans" w:hAnsi="Open Sans" w:cs="Open Sans"/>
          <w:color w:val="000000" w:themeColor="text1"/>
        </w:rPr>
        <w:t xml:space="preserve"> </w:t>
      </w:r>
      <w:r w:rsidR="00F668C1" w:rsidRPr="009B5CD7">
        <w:rPr>
          <w:rFonts w:ascii="Open Sans" w:hAnsi="Open Sans" w:cs="Open Sans"/>
        </w:rPr>
        <w:t>W przypadku niekwalifikowalności kosztów pośred</w:t>
      </w:r>
      <w:r w:rsidR="00F668C1" w:rsidRPr="00D305A9">
        <w:rPr>
          <w:rFonts w:ascii="Open Sans" w:hAnsi="Open Sans" w:cs="Open Sans"/>
        </w:rPr>
        <w:t xml:space="preserve">nich ust. 16 i 17 należy wykreślić. </w:t>
      </w:r>
    </w:p>
  </w:footnote>
  <w:footnote w:id="81">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SzOP FEnIKS.</w:t>
      </w:r>
    </w:p>
  </w:footnote>
  <w:footnote w:id="82">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4">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5">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6">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7">
    <w:p w14:paraId="170C0452" w14:textId="77777777" w:rsidR="008C0BEF" w:rsidRDefault="008C0BEF" w:rsidP="008C0BEF">
      <w:pPr>
        <w:pStyle w:val="Tekstprzypisudolnego"/>
        <w:jc w:val="both"/>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Umowy. W przypadku niekwalifikowalności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88">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9">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90">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91">
    <w:p w14:paraId="500D9806" w14:textId="77777777" w:rsidR="002172AE" w:rsidRDefault="002172AE" w:rsidP="002172AE">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2">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r w:rsidR="00FA03E2" w:rsidRPr="009B5CD7">
        <w:rPr>
          <w:rFonts w:ascii="Open Sans" w:hAnsi="Open Sans" w:cs="Open Sans"/>
        </w:rPr>
        <w:t>FEnIKS</w:t>
      </w:r>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93">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4">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95">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6">
    <w:p w14:paraId="728B2D10" w14:textId="72E5AF8E" w:rsidR="00095F78" w:rsidRPr="00FA2DCE" w:rsidRDefault="00095F78" w:rsidP="009B5CD7">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W przypadku zamówień o wartości niższej od kwoty określonej w przepisach wydanych na podstawie art. 3 ustawy Pzp, </w:t>
      </w:r>
      <w:r w:rsidR="00FA2DCE" w:rsidRPr="00FA2DCE">
        <w:rPr>
          <w:rFonts w:ascii="Open Sans" w:hAnsi="Open Sans" w:cs="Open Sans"/>
          <w:color w:val="000000" w:themeColor="text1"/>
        </w:rPr>
        <w:t xml:space="preserve">a jednocześnie przekraczającej </w:t>
      </w:r>
      <w:r w:rsidR="00633D95" w:rsidRPr="00D62DCC">
        <w:rPr>
          <w:rFonts w:ascii="Open Sans" w:hAnsi="Open Sans" w:cs="Open Sans"/>
        </w:rPr>
        <w:t>ustalony w wytycznych</w:t>
      </w:r>
      <w:r w:rsidR="00633D95" w:rsidRPr="00FA2DCE">
        <w:t xml:space="preserve"> </w:t>
      </w:r>
      <w:r w:rsidR="00633D95" w:rsidRPr="00FA2DCE">
        <w:rPr>
          <w:rFonts w:ascii="Open Sans" w:hAnsi="Open Sans" w:cs="Open Sans"/>
        </w:rPr>
        <w:t>dotyczących kwalifikowalności wydatków na lata 2021-2027</w:t>
      </w:r>
      <w:r w:rsidR="00633D95" w:rsidRPr="00D62DCC">
        <w:rPr>
          <w:rFonts w:ascii="Open Sans" w:hAnsi="Open Sans" w:cs="Open Sans"/>
        </w:rPr>
        <w:t xml:space="preserve"> próg stosowania zasady konkurencyjności</w:t>
      </w:r>
      <w:r w:rsidRPr="00FA2DCE">
        <w:rPr>
          <w:rFonts w:ascii="Open Sans" w:hAnsi="Open Sans" w:cs="Open Sans"/>
        </w:rPr>
        <w:t xml:space="preserve">, udzielenie zamówienia, na podstawie </w:t>
      </w:r>
      <w:r w:rsidR="00ED4FFD" w:rsidRPr="00FA2DCE">
        <w:rPr>
          <w:rFonts w:ascii="Open Sans" w:hAnsi="Open Sans" w:cs="Open Sans"/>
        </w:rPr>
        <w:t>ust.</w:t>
      </w:r>
      <w:r w:rsidRPr="00FA2DCE">
        <w:rPr>
          <w:rFonts w:ascii="Open Sans" w:hAnsi="Open Sans" w:cs="Open Sans"/>
        </w:rPr>
        <w:t xml:space="preserve"> 6, następuje zgodnie z zasadą konkurencyjności, o której mowa w sekcji 3.2.2.</w:t>
      </w:r>
    </w:p>
  </w:footnote>
  <w:footnote w:id="97">
    <w:p w14:paraId="604CB918" w14:textId="77777777" w:rsidR="00095F78" w:rsidRPr="00FA2DCE" w:rsidRDefault="00095F78" w:rsidP="00D305A9">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Ustęp znajdzie zastosowanie do postępowań o udzielenie zamówień publicznych, wszczętych do 31.12.2020 r.</w:t>
      </w:r>
    </w:p>
  </w:footnote>
  <w:footnote w:id="98">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99">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0">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101">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102">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103">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6"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361 z późn. zm.</w:t>
      </w:r>
      <w:r w:rsidRPr="00D305A9">
        <w:rPr>
          <w:rFonts w:ascii="Open Sans" w:hAnsi="Open Sans" w:cs="Open Sans"/>
        </w:rPr>
        <w:t>)</w:t>
      </w:r>
      <w:bookmarkEnd w:id="86"/>
      <w:r w:rsidR="00043E50" w:rsidRPr="00D305A9">
        <w:rPr>
          <w:rFonts w:ascii="Open Sans" w:hAnsi="Open Sans" w:cs="Open Sans"/>
        </w:rPr>
        <w:t>.</w:t>
      </w:r>
    </w:p>
  </w:footnote>
  <w:footnote w:id="104">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5">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6">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3"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3"/>
    </w:p>
  </w:footnote>
  <w:footnote w:id="107">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8">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9">
    <w:p w14:paraId="6DFBA1B3" w14:textId="708CDDC8"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r w:rsidR="00591C45">
        <w:rPr>
          <w:rFonts w:ascii="Open Sans" w:hAnsi="Open Sans" w:cs="Open Sans"/>
        </w:rPr>
        <w:t xml:space="preserve"> </w:t>
      </w:r>
      <w:r w:rsidR="00591C45"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footnote>
  <w:footnote w:id="110">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11">
    <w:p w14:paraId="37637548" w14:textId="77777777" w:rsidR="009654BB" w:rsidRDefault="009654BB" w:rsidP="009654BB">
      <w:pPr>
        <w:pStyle w:val="Tekstprzypisudolnego"/>
      </w:pPr>
      <w:r>
        <w:rPr>
          <w:rStyle w:val="Odwoanieprzypisudolnego"/>
        </w:rPr>
        <w:footnoteRef/>
      </w:r>
      <w:r>
        <w:t xml:space="preserve"> </w:t>
      </w:r>
      <w:r w:rsidRPr="00416E94">
        <w:rPr>
          <w:rFonts w:ascii="Open Sans" w:hAnsi="Open Sans" w:cs="Open Sans"/>
        </w:rPr>
        <w:t xml:space="preserve">Część </w:t>
      </w:r>
      <w:r>
        <w:rPr>
          <w:rFonts w:ascii="Open Sans" w:hAnsi="Open Sans" w:cs="Open Sans"/>
        </w:rPr>
        <w:t xml:space="preserve">zdania </w:t>
      </w:r>
      <w:r w:rsidRPr="00416E94">
        <w:rPr>
          <w:rFonts w:ascii="Open Sans" w:hAnsi="Open Sans" w:cs="Open Sans"/>
        </w:rPr>
        <w:t xml:space="preserve">dotyczącą kosztów pośrednich należy wykreślić, jeżeli nie są </w:t>
      </w:r>
      <w:r>
        <w:rPr>
          <w:rFonts w:ascii="Open Sans" w:hAnsi="Open Sans" w:cs="Open Sans"/>
        </w:rPr>
        <w:t xml:space="preserve">one </w:t>
      </w:r>
      <w:r w:rsidRPr="00416E94">
        <w:rPr>
          <w:rFonts w:ascii="Open Sans" w:hAnsi="Open Sans" w:cs="Open Sans"/>
        </w:rPr>
        <w:t>kwalifikowalne w Projekcie.</w:t>
      </w:r>
    </w:p>
  </w:footnote>
  <w:footnote w:id="112">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13">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4">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5">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6">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7">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8">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9">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20">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21">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6" w:name="_Hlk126135864"/>
      <w:r w:rsidRPr="009B5CD7">
        <w:rPr>
          <w:rFonts w:ascii="Open Sans" w:hAnsi="Open Sans" w:cs="Open Sans"/>
        </w:rPr>
        <w:t>Wykreślić jeżeli Projekt będzie realizowany bez udziału partnerów.</w:t>
      </w:r>
      <w:bookmarkEnd w:id="116"/>
    </w:p>
  </w:footnote>
  <w:footnote w:id="122">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23">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24">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5">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FEnIKS</w:t>
      </w:r>
    </w:p>
  </w:footnote>
  <w:footnote w:id="126">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7">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FEnIKS,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37" w:name="_Hlk133306492"/>
      <w:r w:rsidR="00AC6ED8" w:rsidRPr="00B513A6">
        <w:rPr>
          <w:rFonts w:ascii="Open Sans" w:hAnsi="Open Sans" w:cs="Open Sans"/>
        </w:rPr>
        <w:t xml:space="preserve">lub - w niektórych przypadkach – art. 14 </w:t>
      </w:r>
      <w:bookmarkEnd w:id="137"/>
      <w:r w:rsidR="002C7C07" w:rsidRPr="00D305A9">
        <w:rPr>
          <w:rFonts w:ascii="Open Sans" w:hAnsi="Open Sans" w:cs="Open Sans"/>
        </w:rPr>
        <w:t>ogólnego rozporządzenia o ochronie danych.</w:t>
      </w:r>
    </w:p>
  </w:footnote>
  <w:footnote w:id="128">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9">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39"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39"/>
    </w:p>
  </w:footnote>
  <w:footnote w:id="130">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31">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32">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33">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4">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5">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6">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7">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8">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9">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2D4BB3"/>
    <w:multiLevelType w:val="hybridMultilevel"/>
    <w:tmpl w:val="97426C76"/>
    <w:lvl w:ilvl="0" w:tplc="5DCAA8FE">
      <w:start w:val="1"/>
      <w:numFmt w:val="decimal"/>
      <w:lvlText w:val="%1."/>
      <w:lvlJc w:val="left"/>
      <w:pPr>
        <w:ind w:left="720" w:hanging="360"/>
      </w:pPr>
    </w:lvl>
    <w:lvl w:ilvl="1" w:tplc="A3022F24">
      <w:start w:val="1"/>
      <w:numFmt w:val="decimal"/>
      <w:lvlText w:val="%2."/>
      <w:lvlJc w:val="left"/>
      <w:pPr>
        <w:ind w:left="720" w:hanging="360"/>
      </w:pPr>
    </w:lvl>
    <w:lvl w:ilvl="2" w:tplc="DF64A570">
      <w:start w:val="1"/>
      <w:numFmt w:val="decimal"/>
      <w:lvlText w:val="%3."/>
      <w:lvlJc w:val="left"/>
      <w:pPr>
        <w:ind w:left="720" w:hanging="360"/>
      </w:pPr>
    </w:lvl>
    <w:lvl w:ilvl="3" w:tplc="49D292BE">
      <w:start w:val="1"/>
      <w:numFmt w:val="decimal"/>
      <w:lvlText w:val="%4."/>
      <w:lvlJc w:val="left"/>
      <w:pPr>
        <w:ind w:left="720" w:hanging="360"/>
      </w:pPr>
    </w:lvl>
    <w:lvl w:ilvl="4" w:tplc="FA288D0A">
      <w:start w:val="1"/>
      <w:numFmt w:val="decimal"/>
      <w:lvlText w:val="%5."/>
      <w:lvlJc w:val="left"/>
      <w:pPr>
        <w:ind w:left="720" w:hanging="360"/>
      </w:pPr>
    </w:lvl>
    <w:lvl w:ilvl="5" w:tplc="341A581E">
      <w:start w:val="1"/>
      <w:numFmt w:val="decimal"/>
      <w:lvlText w:val="%6."/>
      <w:lvlJc w:val="left"/>
      <w:pPr>
        <w:ind w:left="720" w:hanging="360"/>
      </w:pPr>
    </w:lvl>
    <w:lvl w:ilvl="6" w:tplc="D3F640E8">
      <w:start w:val="1"/>
      <w:numFmt w:val="decimal"/>
      <w:lvlText w:val="%7."/>
      <w:lvlJc w:val="left"/>
      <w:pPr>
        <w:ind w:left="720" w:hanging="360"/>
      </w:pPr>
    </w:lvl>
    <w:lvl w:ilvl="7" w:tplc="77C06B02">
      <w:start w:val="1"/>
      <w:numFmt w:val="decimal"/>
      <w:lvlText w:val="%8."/>
      <w:lvlJc w:val="left"/>
      <w:pPr>
        <w:ind w:left="720" w:hanging="360"/>
      </w:pPr>
    </w:lvl>
    <w:lvl w:ilvl="8" w:tplc="C1705C68">
      <w:start w:val="1"/>
      <w:numFmt w:val="decimal"/>
      <w:lvlText w:val="%9."/>
      <w:lvlJc w:val="left"/>
      <w:pPr>
        <w:ind w:left="720" w:hanging="360"/>
      </w:pPr>
    </w:lvl>
  </w:abstractNum>
  <w:abstractNum w:abstractNumId="45"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61" w15:restartNumberingAfterBreak="0">
    <w:nsid w:val="3AB91058"/>
    <w:multiLevelType w:val="hybridMultilevel"/>
    <w:tmpl w:val="7FBA6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3"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4"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5"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6"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8"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1"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2"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4"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5"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6"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7"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8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52A84A39"/>
    <w:multiLevelType w:val="hybridMultilevel"/>
    <w:tmpl w:val="7FF0A312"/>
    <w:lvl w:ilvl="0" w:tplc="839804F0">
      <w:start w:val="1"/>
      <w:numFmt w:val="decimal"/>
      <w:lvlText w:val="%1."/>
      <w:lvlJc w:val="left"/>
      <w:pPr>
        <w:ind w:left="720" w:hanging="360"/>
      </w:pPr>
    </w:lvl>
    <w:lvl w:ilvl="1" w:tplc="A6B01F06">
      <w:start w:val="1"/>
      <w:numFmt w:val="decimal"/>
      <w:lvlText w:val="%2."/>
      <w:lvlJc w:val="left"/>
      <w:pPr>
        <w:ind w:left="720" w:hanging="360"/>
      </w:pPr>
    </w:lvl>
    <w:lvl w:ilvl="2" w:tplc="98AC9FC0">
      <w:start w:val="1"/>
      <w:numFmt w:val="decimal"/>
      <w:lvlText w:val="%3."/>
      <w:lvlJc w:val="left"/>
      <w:pPr>
        <w:ind w:left="720" w:hanging="360"/>
      </w:pPr>
    </w:lvl>
    <w:lvl w:ilvl="3" w:tplc="3508D826">
      <w:start w:val="1"/>
      <w:numFmt w:val="decimal"/>
      <w:lvlText w:val="%4."/>
      <w:lvlJc w:val="left"/>
      <w:pPr>
        <w:ind w:left="720" w:hanging="360"/>
      </w:pPr>
    </w:lvl>
    <w:lvl w:ilvl="4" w:tplc="E1D44506">
      <w:start w:val="1"/>
      <w:numFmt w:val="decimal"/>
      <w:lvlText w:val="%5."/>
      <w:lvlJc w:val="left"/>
      <w:pPr>
        <w:ind w:left="720" w:hanging="360"/>
      </w:pPr>
    </w:lvl>
    <w:lvl w:ilvl="5" w:tplc="84D442E6">
      <w:start w:val="1"/>
      <w:numFmt w:val="decimal"/>
      <w:lvlText w:val="%6."/>
      <w:lvlJc w:val="left"/>
      <w:pPr>
        <w:ind w:left="720" w:hanging="360"/>
      </w:pPr>
    </w:lvl>
    <w:lvl w:ilvl="6" w:tplc="059A454C">
      <w:start w:val="1"/>
      <w:numFmt w:val="decimal"/>
      <w:lvlText w:val="%7."/>
      <w:lvlJc w:val="left"/>
      <w:pPr>
        <w:ind w:left="720" w:hanging="360"/>
      </w:pPr>
    </w:lvl>
    <w:lvl w:ilvl="7" w:tplc="C3286BEC">
      <w:start w:val="1"/>
      <w:numFmt w:val="decimal"/>
      <w:lvlText w:val="%8."/>
      <w:lvlJc w:val="left"/>
      <w:pPr>
        <w:ind w:left="720" w:hanging="360"/>
      </w:pPr>
    </w:lvl>
    <w:lvl w:ilvl="8" w:tplc="DE06138C">
      <w:start w:val="1"/>
      <w:numFmt w:val="decimal"/>
      <w:lvlText w:val="%9."/>
      <w:lvlJc w:val="left"/>
      <w:pPr>
        <w:ind w:left="720" w:hanging="360"/>
      </w:pPr>
    </w:lvl>
  </w:abstractNum>
  <w:abstractNum w:abstractNumId="85"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6" w15:restartNumberingAfterBreak="0">
    <w:nsid w:val="55975B7F"/>
    <w:multiLevelType w:val="hybridMultilevel"/>
    <w:tmpl w:val="D6F2BAA2"/>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8CF644D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91"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92"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3" w15:restartNumberingAfterBreak="0">
    <w:nsid w:val="5DA13DA3"/>
    <w:multiLevelType w:val="hybridMultilevel"/>
    <w:tmpl w:val="9C283290"/>
    <w:lvl w:ilvl="0" w:tplc="20C8F356">
      <w:start w:val="1"/>
      <w:numFmt w:val="decimal"/>
      <w:lvlText w:val="%1."/>
      <w:lvlJc w:val="left"/>
      <w:pPr>
        <w:ind w:left="720" w:hanging="360"/>
      </w:pPr>
    </w:lvl>
    <w:lvl w:ilvl="1" w:tplc="C8DE84AC">
      <w:start w:val="1"/>
      <w:numFmt w:val="decimal"/>
      <w:lvlText w:val="%2."/>
      <w:lvlJc w:val="left"/>
      <w:pPr>
        <w:ind w:left="720" w:hanging="360"/>
      </w:pPr>
    </w:lvl>
    <w:lvl w:ilvl="2" w:tplc="1C3C99DC">
      <w:start w:val="1"/>
      <w:numFmt w:val="decimal"/>
      <w:lvlText w:val="%3."/>
      <w:lvlJc w:val="left"/>
      <w:pPr>
        <w:ind w:left="720" w:hanging="360"/>
      </w:pPr>
    </w:lvl>
    <w:lvl w:ilvl="3" w:tplc="39CA461C">
      <w:start w:val="1"/>
      <w:numFmt w:val="decimal"/>
      <w:lvlText w:val="%4."/>
      <w:lvlJc w:val="left"/>
      <w:pPr>
        <w:ind w:left="720" w:hanging="360"/>
      </w:pPr>
    </w:lvl>
    <w:lvl w:ilvl="4" w:tplc="09B8197E">
      <w:start w:val="1"/>
      <w:numFmt w:val="decimal"/>
      <w:lvlText w:val="%5."/>
      <w:lvlJc w:val="left"/>
      <w:pPr>
        <w:ind w:left="720" w:hanging="360"/>
      </w:pPr>
    </w:lvl>
    <w:lvl w:ilvl="5" w:tplc="56FC6916">
      <w:start w:val="1"/>
      <w:numFmt w:val="decimal"/>
      <w:lvlText w:val="%6."/>
      <w:lvlJc w:val="left"/>
      <w:pPr>
        <w:ind w:left="720" w:hanging="360"/>
      </w:pPr>
    </w:lvl>
    <w:lvl w:ilvl="6" w:tplc="F4A4E248">
      <w:start w:val="1"/>
      <w:numFmt w:val="decimal"/>
      <w:lvlText w:val="%7."/>
      <w:lvlJc w:val="left"/>
      <w:pPr>
        <w:ind w:left="720" w:hanging="360"/>
      </w:pPr>
    </w:lvl>
    <w:lvl w:ilvl="7" w:tplc="715AF37C">
      <w:start w:val="1"/>
      <w:numFmt w:val="decimal"/>
      <w:lvlText w:val="%8."/>
      <w:lvlJc w:val="left"/>
      <w:pPr>
        <w:ind w:left="720" w:hanging="360"/>
      </w:pPr>
    </w:lvl>
    <w:lvl w:ilvl="8" w:tplc="630C4E74">
      <w:start w:val="1"/>
      <w:numFmt w:val="decimal"/>
      <w:lvlText w:val="%9."/>
      <w:lvlJc w:val="left"/>
      <w:pPr>
        <w:ind w:left="720" w:hanging="360"/>
      </w:pPr>
    </w:lvl>
  </w:abstractNum>
  <w:abstractNum w:abstractNumId="94"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8"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0"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5"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7"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8"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9"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11"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13"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5"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6"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15:restartNumberingAfterBreak="0">
    <w:nsid w:val="7A1078DE"/>
    <w:multiLevelType w:val="hybridMultilevel"/>
    <w:tmpl w:val="88768630"/>
    <w:lvl w:ilvl="0" w:tplc="59487D78">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8"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9"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1"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88"/>
  </w:num>
  <w:num w:numId="3">
    <w:abstractNumId w:val="48"/>
  </w:num>
  <w:num w:numId="4">
    <w:abstractNumId w:val="101"/>
  </w:num>
  <w:num w:numId="5">
    <w:abstractNumId w:val="87"/>
  </w:num>
  <w:num w:numId="6">
    <w:abstractNumId w:val="78"/>
  </w:num>
  <w:num w:numId="7">
    <w:abstractNumId w:val="31"/>
  </w:num>
  <w:num w:numId="8">
    <w:abstractNumId w:val="21"/>
  </w:num>
  <w:num w:numId="9">
    <w:abstractNumId w:val="49"/>
  </w:num>
  <w:num w:numId="10">
    <w:abstractNumId w:val="105"/>
  </w:num>
  <w:num w:numId="11">
    <w:abstractNumId w:val="0"/>
  </w:num>
  <w:num w:numId="12">
    <w:abstractNumId w:val="5"/>
  </w:num>
  <w:num w:numId="13">
    <w:abstractNumId w:val="37"/>
  </w:num>
  <w:num w:numId="14">
    <w:abstractNumId w:val="36"/>
  </w:num>
  <w:num w:numId="15">
    <w:abstractNumId w:val="96"/>
  </w:num>
  <w:num w:numId="16">
    <w:abstractNumId w:val="69"/>
  </w:num>
  <w:num w:numId="17">
    <w:abstractNumId w:val="2"/>
  </w:num>
  <w:num w:numId="18">
    <w:abstractNumId w:val="51"/>
  </w:num>
  <w:num w:numId="19">
    <w:abstractNumId w:val="58"/>
  </w:num>
  <w:num w:numId="20">
    <w:abstractNumId w:val="35"/>
  </w:num>
  <w:num w:numId="21">
    <w:abstractNumId w:val="6"/>
  </w:num>
  <w:num w:numId="22">
    <w:abstractNumId w:val="26"/>
  </w:num>
  <w:num w:numId="23">
    <w:abstractNumId w:val="52"/>
  </w:num>
  <w:num w:numId="24">
    <w:abstractNumId w:val="54"/>
  </w:num>
  <w:num w:numId="25">
    <w:abstractNumId w:val="103"/>
  </w:num>
  <w:num w:numId="26">
    <w:abstractNumId w:val="94"/>
  </w:num>
  <w:num w:numId="27">
    <w:abstractNumId w:val="120"/>
  </w:num>
  <w:num w:numId="28">
    <w:abstractNumId w:val="109"/>
  </w:num>
  <w:num w:numId="29">
    <w:abstractNumId w:val="53"/>
  </w:num>
  <w:num w:numId="30">
    <w:abstractNumId w:val="41"/>
  </w:num>
  <w:num w:numId="31">
    <w:abstractNumId w:val="72"/>
  </w:num>
  <w:num w:numId="32">
    <w:abstractNumId w:val="114"/>
  </w:num>
  <w:num w:numId="33">
    <w:abstractNumId w:val="85"/>
  </w:num>
  <w:num w:numId="34">
    <w:abstractNumId w:val="121"/>
  </w:num>
  <w:num w:numId="35">
    <w:abstractNumId w:val="99"/>
  </w:num>
  <w:num w:numId="36">
    <w:abstractNumId w:val="28"/>
  </w:num>
  <w:num w:numId="37">
    <w:abstractNumId w:val="81"/>
  </w:num>
  <w:num w:numId="38">
    <w:abstractNumId w:val="116"/>
  </w:num>
  <w:num w:numId="39">
    <w:abstractNumId w:val="4"/>
  </w:num>
  <w:num w:numId="40">
    <w:abstractNumId w:val="115"/>
  </w:num>
  <w:num w:numId="41">
    <w:abstractNumId w:val="22"/>
  </w:num>
  <w:num w:numId="42">
    <w:abstractNumId w:val="59"/>
  </w:num>
  <w:num w:numId="43">
    <w:abstractNumId w:val="90"/>
  </w:num>
  <w:num w:numId="44">
    <w:abstractNumId w:val="91"/>
  </w:num>
  <w:num w:numId="45">
    <w:abstractNumId w:val="79"/>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7"/>
  </w:num>
  <w:num w:numId="48">
    <w:abstractNumId w:val="102"/>
  </w:num>
  <w:num w:numId="49">
    <w:abstractNumId w:val="38"/>
  </w:num>
  <w:num w:numId="50">
    <w:abstractNumId w:val="57"/>
  </w:num>
  <w:num w:numId="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6"/>
  </w:num>
  <w:num w:numId="5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8"/>
  </w:num>
  <w:num w:numId="66">
    <w:abstractNumId w:val="55"/>
  </w:num>
  <w:num w:numId="67">
    <w:abstractNumId w:val="68"/>
  </w:num>
  <w:num w:numId="68">
    <w:abstractNumId w:val="113"/>
  </w:num>
  <w:num w:numId="69">
    <w:abstractNumId w:val="83"/>
  </w:num>
  <w:num w:numId="70">
    <w:abstractNumId w:val="18"/>
  </w:num>
  <w:num w:numId="71">
    <w:abstractNumId w:val="97"/>
  </w:num>
  <w:num w:numId="72">
    <w:abstractNumId w:val="74"/>
  </w:num>
  <w:num w:numId="73">
    <w:abstractNumId w:val="107"/>
  </w:num>
  <w:num w:numId="74">
    <w:abstractNumId w:val="112"/>
  </w:num>
  <w:num w:numId="75">
    <w:abstractNumId w:val="82"/>
  </w:num>
  <w:num w:numId="76">
    <w:abstractNumId w:val="63"/>
  </w:num>
  <w:num w:numId="77">
    <w:abstractNumId w:val="39"/>
  </w:num>
  <w:num w:numId="78">
    <w:abstractNumId w:val="33"/>
  </w:num>
  <w:num w:numId="79">
    <w:abstractNumId w:val="15"/>
  </w:num>
  <w:num w:numId="80">
    <w:abstractNumId w:val="25"/>
  </w:num>
  <w:num w:numId="81">
    <w:abstractNumId w:val="67"/>
  </w:num>
  <w:num w:numId="82">
    <w:abstractNumId w:val="110"/>
  </w:num>
  <w:num w:numId="83">
    <w:abstractNumId w:val="1"/>
  </w:num>
  <w:num w:numId="84">
    <w:abstractNumId w:val="8"/>
  </w:num>
  <w:num w:numId="85">
    <w:abstractNumId w:val="40"/>
  </w:num>
  <w:num w:numId="86">
    <w:abstractNumId w:val="73"/>
  </w:num>
  <w:num w:numId="87">
    <w:abstractNumId w:val="60"/>
  </w:num>
  <w:num w:numId="88">
    <w:abstractNumId w:val="62"/>
  </w:num>
  <w:num w:numId="89">
    <w:abstractNumId w:val="65"/>
  </w:num>
  <w:num w:numId="90">
    <w:abstractNumId w:val="34"/>
  </w:num>
  <w:num w:numId="91">
    <w:abstractNumId w:val="98"/>
  </w:num>
  <w:num w:numId="92">
    <w:abstractNumId w:val="46"/>
  </w:num>
  <w:num w:numId="93">
    <w:abstractNumId w:val="16"/>
  </w:num>
  <w:num w:numId="94">
    <w:abstractNumId w:val="14"/>
  </w:num>
  <w:num w:numId="95">
    <w:abstractNumId w:val="47"/>
  </w:num>
  <w:num w:numId="96">
    <w:abstractNumId w:val="17"/>
  </w:num>
  <w:num w:numId="97">
    <w:abstractNumId w:val="19"/>
  </w:num>
  <w:num w:numId="98">
    <w:abstractNumId w:val="122"/>
  </w:num>
  <w:num w:numId="99">
    <w:abstractNumId w:val="119"/>
  </w:num>
  <w:num w:numId="100">
    <w:abstractNumId w:val="70"/>
  </w:num>
  <w:num w:numId="101">
    <w:abstractNumId w:val="80"/>
  </w:num>
  <w:num w:numId="102">
    <w:abstractNumId w:val="43"/>
  </w:num>
  <w:num w:numId="103">
    <w:abstractNumId w:val="42"/>
  </w:num>
  <w:num w:numId="104">
    <w:abstractNumId w:val="45"/>
  </w:num>
  <w:num w:numId="105">
    <w:abstractNumId w:val="92"/>
  </w:num>
  <w:num w:numId="106">
    <w:abstractNumId w:val="24"/>
  </w:num>
  <w:num w:numId="107">
    <w:abstractNumId w:val="95"/>
  </w:num>
  <w:num w:numId="1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6"/>
  </w:num>
  <w:num w:numId="110">
    <w:abstractNumId w:val="12"/>
  </w:num>
  <w:num w:numId="111">
    <w:abstractNumId w:val="64"/>
  </w:num>
  <w:num w:numId="112">
    <w:abstractNumId w:val="86"/>
  </w:num>
  <w:num w:numId="1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7"/>
  </w:num>
  <w:num w:numId="116">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7"/>
  </w:num>
  <w:num w:numId="118">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11"/>
  </w:num>
  <w:num w:numId="120">
    <w:abstractNumId w:val="89"/>
  </w:num>
  <w:num w:numId="121">
    <w:abstractNumId w:val="23"/>
  </w:num>
  <w:num w:numId="122">
    <w:abstractNumId w:val="9"/>
  </w:num>
  <w:num w:numId="123">
    <w:abstractNumId w:val="86"/>
  </w:num>
  <w:num w:numId="124">
    <w:abstractNumId w:val="7"/>
  </w:num>
  <w:num w:numId="125">
    <w:abstractNumId w:val="117"/>
  </w:num>
  <w:num w:numId="126">
    <w:abstractNumId w:val="11"/>
  </w:num>
  <w:num w:numId="127">
    <w:abstractNumId w:val="32"/>
  </w:num>
  <w:num w:numId="128">
    <w:abstractNumId w:val="10"/>
  </w:num>
  <w:num w:numId="129">
    <w:abstractNumId w:val="8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num>
  <w:num w:numId="131">
    <w:abstractNumId w:val="75"/>
  </w:num>
  <w:num w:numId="132">
    <w:abstractNumId w:val="30"/>
  </w:num>
  <w:num w:numId="133">
    <w:abstractNumId w:val="100"/>
  </w:num>
  <w:num w:numId="134">
    <w:abstractNumId w:val="76"/>
  </w:num>
  <w:num w:numId="135">
    <w:abstractNumId w:val="108"/>
  </w:num>
  <w:num w:numId="136">
    <w:abstractNumId w:val="104"/>
  </w:num>
  <w:num w:numId="137">
    <w:abstractNumId w:val="13"/>
  </w:num>
  <w:num w:numId="138">
    <w:abstractNumId w:val="84"/>
  </w:num>
  <w:num w:numId="139">
    <w:abstractNumId w:val="61"/>
  </w:num>
  <w:num w:numId="140">
    <w:abstractNumId w:val="44"/>
  </w:num>
  <w:num w:numId="141">
    <w:abstractNumId w:val="93"/>
  </w:num>
  <w:num w:numId="142">
    <w:abstractNumId w:val="5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91"/>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3A01"/>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4E96"/>
    <w:rsid w:val="0006558A"/>
    <w:rsid w:val="00065F23"/>
    <w:rsid w:val="00066BAD"/>
    <w:rsid w:val="00066BE2"/>
    <w:rsid w:val="00066D99"/>
    <w:rsid w:val="00067121"/>
    <w:rsid w:val="00067197"/>
    <w:rsid w:val="000704D9"/>
    <w:rsid w:val="0007151F"/>
    <w:rsid w:val="00071561"/>
    <w:rsid w:val="00071846"/>
    <w:rsid w:val="00071B0C"/>
    <w:rsid w:val="00071F91"/>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39F"/>
    <w:rsid w:val="000A148B"/>
    <w:rsid w:val="000A1AD6"/>
    <w:rsid w:val="000A1B16"/>
    <w:rsid w:val="000A2DD3"/>
    <w:rsid w:val="000A2FFA"/>
    <w:rsid w:val="000A302E"/>
    <w:rsid w:val="000A44A2"/>
    <w:rsid w:val="000A4749"/>
    <w:rsid w:val="000A4B75"/>
    <w:rsid w:val="000A50FE"/>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5BD"/>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5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20"/>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2CE4"/>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3C7"/>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21E0"/>
    <w:rsid w:val="00213231"/>
    <w:rsid w:val="002135B8"/>
    <w:rsid w:val="002141FD"/>
    <w:rsid w:val="00214477"/>
    <w:rsid w:val="00214753"/>
    <w:rsid w:val="0021560F"/>
    <w:rsid w:val="00215AE9"/>
    <w:rsid w:val="00215CA1"/>
    <w:rsid w:val="002160E1"/>
    <w:rsid w:val="002160FF"/>
    <w:rsid w:val="002165AC"/>
    <w:rsid w:val="002169EA"/>
    <w:rsid w:val="002170DA"/>
    <w:rsid w:val="002172AE"/>
    <w:rsid w:val="0021764F"/>
    <w:rsid w:val="00217E47"/>
    <w:rsid w:val="002202F2"/>
    <w:rsid w:val="0022050A"/>
    <w:rsid w:val="0022122A"/>
    <w:rsid w:val="0022243A"/>
    <w:rsid w:val="00222482"/>
    <w:rsid w:val="002227E2"/>
    <w:rsid w:val="002235D8"/>
    <w:rsid w:val="00223C2B"/>
    <w:rsid w:val="00223F9E"/>
    <w:rsid w:val="00224765"/>
    <w:rsid w:val="002248D6"/>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13A"/>
    <w:rsid w:val="00235246"/>
    <w:rsid w:val="00235B01"/>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3A48"/>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4CE0"/>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112"/>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399F"/>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4AE"/>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02C"/>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15F2"/>
    <w:rsid w:val="0038169C"/>
    <w:rsid w:val="0038240A"/>
    <w:rsid w:val="003824A5"/>
    <w:rsid w:val="0038290F"/>
    <w:rsid w:val="00382F4B"/>
    <w:rsid w:val="00383496"/>
    <w:rsid w:val="003834AC"/>
    <w:rsid w:val="00383A15"/>
    <w:rsid w:val="00383F63"/>
    <w:rsid w:val="0038431E"/>
    <w:rsid w:val="003844E6"/>
    <w:rsid w:val="00385237"/>
    <w:rsid w:val="00385372"/>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685A"/>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17F3A"/>
    <w:rsid w:val="004200C6"/>
    <w:rsid w:val="004200E3"/>
    <w:rsid w:val="004201F3"/>
    <w:rsid w:val="0042045D"/>
    <w:rsid w:val="0042084B"/>
    <w:rsid w:val="00420880"/>
    <w:rsid w:val="00420995"/>
    <w:rsid w:val="00420EA9"/>
    <w:rsid w:val="00420FAB"/>
    <w:rsid w:val="00421031"/>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8A7"/>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3A"/>
    <w:rsid w:val="0044568D"/>
    <w:rsid w:val="00445D9C"/>
    <w:rsid w:val="004463F1"/>
    <w:rsid w:val="00446BA1"/>
    <w:rsid w:val="00447837"/>
    <w:rsid w:val="00447ED5"/>
    <w:rsid w:val="004508CB"/>
    <w:rsid w:val="00451B3A"/>
    <w:rsid w:val="00452890"/>
    <w:rsid w:val="0045320B"/>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520"/>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0F54"/>
    <w:rsid w:val="00502683"/>
    <w:rsid w:val="00502E11"/>
    <w:rsid w:val="005037B2"/>
    <w:rsid w:val="005040A1"/>
    <w:rsid w:val="00504552"/>
    <w:rsid w:val="0050459B"/>
    <w:rsid w:val="005052E2"/>
    <w:rsid w:val="005055F5"/>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1C45"/>
    <w:rsid w:val="00592181"/>
    <w:rsid w:val="005925B5"/>
    <w:rsid w:val="00592664"/>
    <w:rsid w:val="00592BE1"/>
    <w:rsid w:val="00592F78"/>
    <w:rsid w:val="005934C2"/>
    <w:rsid w:val="00594395"/>
    <w:rsid w:val="00594408"/>
    <w:rsid w:val="005949E9"/>
    <w:rsid w:val="00594D3C"/>
    <w:rsid w:val="00596A8F"/>
    <w:rsid w:val="00596CEB"/>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1CF"/>
    <w:rsid w:val="005B179A"/>
    <w:rsid w:val="005B1FEC"/>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2DE3"/>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E782E"/>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44C"/>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2737"/>
    <w:rsid w:val="0063399B"/>
    <w:rsid w:val="006339A7"/>
    <w:rsid w:val="00633CE1"/>
    <w:rsid w:val="00633D95"/>
    <w:rsid w:val="0063424B"/>
    <w:rsid w:val="0063445E"/>
    <w:rsid w:val="00634924"/>
    <w:rsid w:val="0063503B"/>
    <w:rsid w:val="00635634"/>
    <w:rsid w:val="00635B66"/>
    <w:rsid w:val="00635DF0"/>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4A16"/>
    <w:rsid w:val="0066569B"/>
    <w:rsid w:val="00665781"/>
    <w:rsid w:val="006657B4"/>
    <w:rsid w:val="006659B2"/>
    <w:rsid w:val="00665BCF"/>
    <w:rsid w:val="00665F7F"/>
    <w:rsid w:val="006660A2"/>
    <w:rsid w:val="00666689"/>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1C1"/>
    <w:rsid w:val="006902C2"/>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6BD"/>
    <w:rsid w:val="006A074C"/>
    <w:rsid w:val="006A1747"/>
    <w:rsid w:val="006A2C66"/>
    <w:rsid w:val="006A310A"/>
    <w:rsid w:val="006A3363"/>
    <w:rsid w:val="006A3748"/>
    <w:rsid w:val="006A3B9E"/>
    <w:rsid w:val="006A4D09"/>
    <w:rsid w:val="006A5C3B"/>
    <w:rsid w:val="006A6A41"/>
    <w:rsid w:val="006A72A6"/>
    <w:rsid w:val="006A737A"/>
    <w:rsid w:val="006A7BB6"/>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E7EF3"/>
    <w:rsid w:val="006F0CFB"/>
    <w:rsid w:val="006F1882"/>
    <w:rsid w:val="006F18ED"/>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395E"/>
    <w:rsid w:val="007145A7"/>
    <w:rsid w:val="00714699"/>
    <w:rsid w:val="00714758"/>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001"/>
    <w:rsid w:val="00754282"/>
    <w:rsid w:val="00755846"/>
    <w:rsid w:val="00755866"/>
    <w:rsid w:val="00755D36"/>
    <w:rsid w:val="00755F42"/>
    <w:rsid w:val="00755FFA"/>
    <w:rsid w:val="00756586"/>
    <w:rsid w:val="00757238"/>
    <w:rsid w:val="00757B6D"/>
    <w:rsid w:val="0076279F"/>
    <w:rsid w:val="00762B48"/>
    <w:rsid w:val="00763ACC"/>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4A3"/>
    <w:rsid w:val="007B6678"/>
    <w:rsid w:val="007B78D8"/>
    <w:rsid w:val="007C0934"/>
    <w:rsid w:val="007C0DF9"/>
    <w:rsid w:val="007C11D9"/>
    <w:rsid w:val="007C147C"/>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151"/>
    <w:rsid w:val="007D5FA2"/>
    <w:rsid w:val="007D6CA8"/>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078D"/>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43"/>
    <w:rsid w:val="008065D7"/>
    <w:rsid w:val="00806621"/>
    <w:rsid w:val="008068D0"/>
    <w:rsid w:val="008104C2"/>
    <w:rsid w:val="00810A47"/>
    <w:rsid w:val="00810E3B"/>
    <w:rsid w:val="00811282"/>
    <w:rsid w:val="0081164A"/>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5E4"/>
    <w:rsid w:val="00824651"/>
    <w:rsid w:val="00824896"/>
    <w:rsid w:val="00825009"/>
    <w:rsid w:val="00825108"/>
    <w:rsid w:val="0082589C"/>
    <w:rsid w:val="008259A7"/>
    <w:rsid w:val="00825E46"/>
    <w:rsid w:val="00826B30"/>
    <w:rsid w:val="00826D0B"/>
    <w:rsid w:val="00826F53"/>
    <w:rsid w:val="008271C8"/>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3F02"/>
    <w:rsid w:val="0086400C"/>
    <w:rsid w:val="0086487D"/>
    <w:rsid w:val="00865683"/>
    <w:rsid w:val="0086615B"/>
    <w:rsid w:val="00866211"/>
    <w:rsid w:val="0086638D"/>
    <w:rsid w:val="008669CF"/>
    <w:rsid w:val="00866BA0"/>
    <w:rsid w:val="00870A7A"/>
    <w:rsid w:val="00870C22"/>
    <w:rsid w:val="00871B21"/>
    <w:rsid w:val="00871E1F"/>
    <w:rsid w:val="00872648"/>
    <w:rsid w:val="00873287"/>
    <w:rsid w:val="00873397"/>
    <w:rsid w:val="00873B4D"/>
    <w:rsid w:val="008744C0"/>
    <w:rsid w:val="00874CB4"/>
    <w:rsid w:val="00874F0F"/>
    <w:rsid w:val="0087564E"/>
    <w:rsid w:val="00875C84"/>
    <w:rsid w:val="00875E9D"/>
    <w:rsid w:val="008763D7"/>
    <w:rsid w:val="00876570"/>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305"/>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BEF"/>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691"/>
    <w:rsid w:val="008E3D46"/>
    <w:rsid w:val="008E3E65"/>
    <w:rsid w:val="008E471C"/>
    <w:rsid w:val="008E53A0"/>
    <w:rsid w:val="008E544A"/>
    <w:rsid w:val="008E58EF"/>
    <w:rsid w:val="008E5CEA"/>
    <w:rsid w:val="008E635F"/>
    <w:rsid w:val="008E65B4"/>
    <w:rsid w:val="008E6DEA"/>
    <w:rsid w:val="008E6E9D"/>
    <w:rsid w:val="008E7241"/>
    <w:rsid w:val="008E79B7"/>
    <w:rsid w:val="008F0771"/>
    <w:rsid w:val="008F0F34"/>
    <w:rsid w:val="008F0FAE"/>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4B3E"/>
    <w:rsid w:val="00905335"/>
    <w:rsid w:val="009053D2"/>
    <w:rsid w:val="00905966"/>
    <w:rsid w:val="0090605B"/>
    <w:rsid w:val="009064A4"/>
    <w:rsid w:val="009105CE"/>
    <w:rsid w:val="00911BD6"/>
    <w:rsid w:val="009120C9"/>
    <w:rsid w:val="00912BAC"/>
    <w:rsid w:val="00912CFE"/>
    <w:rsid w:val="00912D61"/>
    <w:rsid w:val="009134BF"/>
    <w:rsid w:val="0091367E"/>
    <w:rsid w:val="00913BD4"/>
    <w:rsid w:val="0091402F"/>
    <w:rsid w:val="00915681"/>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1137"/>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4E2"/>
    <w:rsid w:val="0095670F"/>
    <w:rsid w:val="00956EF2"/>
    <w:rsid w:val="009573D3"/>
    <w:rsid w:val="00960544"/>
    <w:rsid w:val="0096096E"/>
    <w:rsid w:val="00960ACF"/>
    <w:rsid w:val="00961564"/>
    <w:rsid w:val="0096157E"/>
    <w:rsid w:val="009616AF"/>
    <w:rsid w:val="00962339"/>
    <w:rsid w:val="00963EDD"/>
    <w:rsid w:val="00964281"/>
    <w:rsid w:val="009644FF"/>
    <w:rsid w:val="00964787"/>
    <w:rsid w:val="009654BB"/>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B43"/>
    <w:rsid w:val="00977D42"/>
    <w:rsid w:val="00977EBC"/>
    <w:rsid w:val="00980003"/>
    <w:rsid w:val="009803C6"/>
    <w:rsid w:val="009806EF"/>
    <w:rsid w:val="00981005"/>
    <w:rsid w:val="00981DFD"/>
    <w:rsid w:val="00982729"/>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06BF"/>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0E82"/>
    <w:rsid w:val="009A15A2"/>
    <w:rsid w:val="009A17B4"/>
    <w:rsid w:val="009A1E2D"/>
    <w:rsid w:val="009A2205"/>
    <w:rsid w:val="009A224D"/>
    <w:rsid w:val="009A2B86"/>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7A6"/>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E79B9"/>
    <w:rsid w:val="009E7EE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2C6"/>
    <w:rsid w:val="00A939C0"/>
    <w:rsid w:val="00A93D2D"/>
    <w:rsid w:val="00A93EA1"/>
    <w:rsid w:val="00A945AD"/>
    <w:rsid w:val="00A94A31"/>
    <w:rsid w:val="00A94A75"/>
    <w:rsid w:val="00A94AAC"/>
    <w:rsid w:val="00A94FB7"/>
    <w:rsid w:val="00A957C3"/>
    <w:rsid w:val="00A95F36"/>
    <w:rsid w:val="00A96ADE"/>
    <w:rsid w:val="00A96E17"/>
    <w:rsid w:val="00A970B2"/>
    <w:rsid w:val="00A97113"/>
    <w:rsid w:val="00A972BB"/>
    <w:rsid w:val="00A97484"/>
    <w:rsid w:val="00A97B83"/>
    <w:rsid w:val="00A97EA0"/>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68D"/>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47AA"/>
    <w:rsid w:val="00AC5EDE"/>
    <w:rsid w:val="00AC6128"/>
    <w:rsid w:val="00AC62AE"/>
    <w:rsid w:val="00AC68EE"/>
    <w:rsid w:val="00AC6ED8"/>
    <w:rsid w:val="00AC7043"/>
    <w:rsid w:val="00AC7489"/>
    <w:rsid w:val="00AC7495"/>
    <w:rsid w:val="00AC7AB8"/>
    <w:rsid w:val="00AC7B07"/>
    <w:rsid w:val="00AD1594"/>
    <w:rsid w:val="00AD24FE"/>
    <w:rsid w:val="00AD2954"/>
    <w:rsid w:val="00AD4271"/>
    <w:rsid w:val="00AD4388"/>
    <w:rsid w:val="00AD4991"/>
    <w:rsid w:val="00AD5195"/>
    <w:rsid w:val="00AD5412"/>
    <w:rsid w:val="00AD553A"/>
    <w:rsid w:val="00AD673F"/>
    <w:rsid w:val="00AD67D6"/>
    <w:rsid w:val="00AD7441"/>
    <w:rsid w:val="00AD7745"/>
    <w:rsid w:val="00AE0120"/>
    <w:rsid w:val="00AE2266"/>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1D4A"/>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0744A"/>
    <w:rsid w:val="00B10056"/>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1F67"/>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AC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5B3A"/>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4EEE"/>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0CE"/>
    <w:rsid w:val="00B903CC"/>
    <w:rsid w:val="00B907A0"/>
    <w:rsid w:val="00B90D60"/>
    <w:rsid w:val="00B90E6E"/>
    <w:rsid w:val="00B90FD6"/>
    <w:rsid w:val="00B91326"/>
    <w:rsid w:val="00B917A5"/>
    <w:rsid w:val="00B91979"/>
    <w:rsid w:val="00B91F4A"/>
    <w:rsid w:val="00B929A1"/>
    <w:rsid w:val="00B932A3"/>
    <w:rsid w:val="00B93D33"/>
    <w:rsid w:val="00B93E16"/>
    <w:rsid w:val="00B95733"/>
    <w:rsid w:val="00B95F8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0DA"/>
    <w:rsid w:val="00BA6505"/>
    <w:rsid w:val="00BA6C33"/>
    <w:rsid w:val="00BA7AB3"/>
    <w:rsid w:val="00BA7B2D"/>
    <w:rsid w:val="00BB0213"/>
    <w:rsid w:val="00BB057F"/>
    <w:rsid w:val="00BB05B1"/>
    <w:rsid w:val="00BB08CC"/>
    <w:rsid w:val="00BB0C2A"/>
    <w:rsid w:val="00BB13F6"/>
    <w:rsid w:val="00BB16B1"/>
    <w:rsid w:val="00BB1B01"/>
    <w:rsid w:val="00BB1EA8"/>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0AE"/>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00D"/>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403"/>
    <w:rsid w:val="00C32F2F"/>
    <w:rsid w:val="00C33144"/>
    <w:rsid w:val="00C33BE0"/>
    <w:rsid w:val="00C3607B"/>
    <w:rsid w:val="00C365FE"/>
    <w:rsid w:val="00C36BF6"/>
    <w:rsid w:val="00C37778"/>
    <w:rsid w:val="00C378E0"/>
    <w:rsid w:val="00C4008D"/>
    <w:rsid w:val="00C404E0"/>
    <w:rsid w:val="00C423CE"/>
    <w:rsid w:val="00C426EA"/>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12EF"/>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35D"/>
    <w:rsid w:val="00C64A7F"/>
    <w:rsid w:val="00C65562"/>
    <w:rsid w:val="00C66CE6"/>
    <w:rsid w:val="00C66D39"/>
    <w:rsid w:val="00C67DC4"/>
    <w:rsid w:val="00C71131"/>
    <w:rsid w:val="00C713D0"/>
    <w:rsid w:val="00C717E8"/>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26F9"/>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2F3"/>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0D4"/>
    <w:rsid w:val="00CE571B"/>
    <w:rsid w:val="00CE57B5"/>
    <w:rsid w:val="00CE5BF0"/>
    <w:rsid w:val="00CE5DE7"/>
    <w:rsid w:val="00CE611F"/>
    <w:rsid w:val="00CE6689"/>
    <w:rsid w:val="00CE7687"/>
    <w:rsid w:val="00CE790D"/>
    <w:rsid w:val="00CE7BD4"/>
    <w:rsid w:val="00CE7DD1"/>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545"/>
    <w:rsid w:val="00D24D31"/>
    <w:rsid w:val="00D24D37"/>
    <w:rsid w:val="00D25324"/>
    <w:rsid w:val="00D255A0"/>
    <w:rsid w:val="00D25946"/>
    <w:rsid w:val="00D2611D"/>
    <w:rsid w:val="00D26570"/>
    <w:rsid w:val="00D2692D"/>
    <w:rsid w:val="00D26E7B"/>
    <w:rsid w:val="00D27B31"/>
    <w:rsid w:val="00D27B37"/>
    <w:rsid w:val="00D305A9"/>
    <w:rsid w:val="00D3175B"/>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1A05"/>
    <w:rsid w:val="00D62823"/>
    <w:rsid w:val="00D629F4"/>
    <w:rsid w:val="00D62DCC"/>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03F9"/>
    <w:rsid w:val="00D9174C"/>
    <w:rsid w:val="00D91C42"/>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5B9"/>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2CF5"/>
    <w:rsid w:val="00DD3097"/>
    <w:rsid w:val="00DD3495"/>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3C63"/>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2D74"/>
    <w:rsid w:val="00E136A6"/>
    <w:rsid w:val="00E136D5"/>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88"/>
    <w:rsid w:val="00E676A1"/>
    <w:rsid w:val="00E67A15"/>
    <w:rsid w:val="00E67F1E"/>
    <w:rsid w:val="00E700CB"/>
    <w:rsid w:val="00E71109"/>
    <w:rsid w:val="00E71D23"/>
    <w:rsid w:val="00E71FDB"/>
    <w:rsid w:val="00E72229"/>
    <w:rsid w:val="00E72E3C"/>
    <w:rsid w:val="00E731C0"/>
    <w:rsid w:val="00E738C4"/>
    <w:rsid w:val="00E7500E"/>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0FCE"/>
    <w:rsid w:val="00EB1258"/>
    <w:rsid w:val="00EB18AC"/>
    <w:rsid w:val="00EB1920"/>
    <w:rsid w:val="00EB22BF"/>
    <w:rsid w:val="00EB25D7"/>
    <w:rsid w:val="00EB2852"/>
    <w:rsid w:val="00EB32DA"/>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0A6B"/>
    <w:rsid w:val="00ED13C9"/>
    <w:rsid w:val="00ED189F"/>
    <w:rsid w:val="00ED1FD5"/>
    <w:rsid w:val="00ED277C"/>
    <w:rsid w:val="00ED2E03"/>
    <w:rsid w:val="00ED3878"/>
    <w:rsid w:val="00ED4B86"/>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4C36"/>
    <w:rsid w:val="00F0558D"/>
    <w:rsid w:val="00F057FE"/>
    <w:rsid w:val="00F05DEA"/>
    <w:rsid w:val="00F064F3"/>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966"/>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34"/>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035"/>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4B7"/>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2DC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75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0AFD"/>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349310">
      <w:bodyDiv w:val="1"/>
      <w:marLeft w:val="0"/>
      <w:marRight w:val="0"/>
      <w:marTop w:val="0"/>
      <w:marBottom w:val="0"/>
      <w:divBdr>
        <w:top w:val="none" w:sz="0" w:space="0" w:color="auto"/>
        <w:left w:val="none" w:sz="0" w:space="0" w:color="auto"/>
        <w:bottom w:val="none" w:sz="0" w:space="0" w:color="auto"/>
        <w:right w:val="none" w:sz="0" w:space="0" w:color="auto"/>
      </w:divBdr>
    </w:div>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644089774">
      <w:bodyDiv w:val="1"/>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869493551">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3.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4.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64</Pages>
  <Words>20307</Words>
  <Characters>138877</Characters>
  <Application>Microsoft Office Word</Application>
  <DocSecurity>0</DocSecurity>
  <Lines>1157</Lines>
  <Paragraphs>317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Janik Łukasz</cp:lastModifiedBy>
  <cp:revision>12</cp:revision>
  <cp:lastPrinted>2023-06-13T08:47:00Z</cp:lastPrinted>
  <dcterms:created xsi:type="dcterms:W3CDTF">2025-04-07T10:56:00Z</dcterms:created>
  <dcterms:modified xsi:type="dcterms:W3CDTF">2025-06-05T14:11:00Z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